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F919" w14:textId="77777777" w:rsidR="007B4358" w:rsidRDefault="007B4358" w:rsidP="00BB45AA">
      <w:pPr>
        <w:rPr>
          <w:rFonts w:ascii="Calibri" w:hAnsi="Calibri" w:cs="Calibri"/>
          <w:b/>
          <w:i/>
          <w:iCs/>
          <w:color w:val="FF0000"/>
          <w:sz w:val="28"/>
          <w:szCs w:val="28"/>
          <w:u w:val="single"/>
        </w:rPr>
      </w:pPr>
    </w:p>
    <w:p w14:paraId="2A90969E" w14:textId="77777777" w:rsidR="007B4358" w:rsidRDefault="007B4358" w:rsidP="00BB45AA">
      <w:pPr>
        <w:rPr>
          <w:rFonts w:ascii="Calibri" w:hAnsi="Calibri" w:cs="Calibri"/>
          <w:b/>
          <w:i/>
          <w:iCs/>
          <w:color w:val="FF0000"/>
          <w:sz w:val="28"/>
          <w:szCs w:val="28"/>
          <w:u w:val="single"/>
        </w:rPr>
      </w:pPr>
    </w:p>
    <w:p w14:paraId="45F730AD" w14:textId="77777777" w:rsidR="00C25A5B" w:rsidRDefault="00C25A5B" w:rsidP="00C25A5B">
      <w:pPr>
        <w:ind w:left="142"/>
      </w:pPr>
      <w:r>
        <w:rPr>
          <w:noProof/>
        </w:rPr>
        <w:drawing>
          <wp:inline distT="0" distB="0" distL="0" distR="0" wp14:anchorId="2C433546" wp14:editId="295F99EB">
            <wp:extent cx="3497172" cy="1015308"/>
            <wp:effectExtent l="0" t="0" r="0" b="0"/>
            <wp:docPr id="1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4624" cy="1026181"/>
                    </a:xfrm>
                    <a:prstGeom prst="rect">
                      <a:avLst/>
                    </a:prstGeom>
                  </pic:spPr>
                </pic:pic>
              </a:graphicData>
            </a:graphic>
          </wp:inline>
        </w:drawing>
      </w:r>
    </w:p>
    <w:p w14:paraId="37134347" w14:textId="77777777" w:rsidR="00C25A5B" w:rsidRDefault="00C25A5B" w:rsidP="00C25A5B">
      <w:pPr>
        <w:jc w:val="center"/>
      </w:pPr>
      <w:r w:rsidRPr="00F21C11">
        <w:rPr>
          <w:noProof/>
          <w:color w:val="FFC000" w:themeColor="accent4"/>
        </w:rPr>
        <mc:AlternateContent>
          <mc:Choice Requires="wps">
            <w:drawing>
              <wp:anchor distT="0" distB="0" distL="114300" distR="114300" simplePos="0" relativeHeight="251661312" behindDoc="0" locked="0" layoutInCell="1" allowOverlap="1" wp14:anchorId="53A09DE4" wp14:editId="53D625A5">
                <wp:simplePos x="0" y="0"/>
                <wp:positionH relativeFrom="column">
                  <wp:posOffset>149400</wp:posOffset>
                </wp:positionH>
                <wp:positionV relativeFrom="paragraph">
                  <wp:posOffset>283723</wp:posOffset>
                </wp:positionV>
                <wp:extent cx="1778621" cy="2757"/>
                <wp:effectExtent l="19050" t="38100" r="50800" b="54610"/>
                <wp:wrapNone/>
                <wp:docPr id="15" name="Straight Connector 15"/>
                <wp:cNvGraphicFramePr/>
                <a:graphic xmlns:a="http://schemas.openxmlformats.org/drawingml/2006/main">
                  <a:graphicData uri="http://schemas.microsoft.com/office/word/2010/wordprocessingShape">
                    <wps:wsp>
                      <wps:cNvCnPr/>
                      <wps:spPr>
                        <a:xfrm>
                          <a:off x="0" y="0"/>
                          <a:ext cx="1778621" cy="2757"/>
                        </a:xfrm>
                        <a:prstGeom prst="line">
                          <a:avLst/>
                        </a:prstGeom>
                        <a:ln w="66675">
                          <a:solidFill>
                            <a:srgbClr val="FF6B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D1D85"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2.35pt" to="151.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" strokecolor="#ff6b00" strokeweight="5.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96F0168" wp14:editId="1295E427">
                <wp:simplePos x="0" y="0"/>
                <wp:positionH relativeFrom="column">
                  <wp:posOffset>-907254</wp:posOffset>
                </wp:positionH>
                <wp:positionV relativeFrom="paragraph">
                  <wp:posOffset>287020</wp:posOffset>
                </wp:positionV>
                <wp:extent cx="7540388"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540388" cy="0"/>
                        </a:xfrm>
                        <a:prstGeom prst="line">
                          <a:avLst/>
                        </a:prstGeom>
                        <a:ln>
                          <a:solidFill>
                            <a:schemeClr val="tx1">
                              <a:alpha val="2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8F903"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45pt,22.6pt" to="522.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" strokecolor="black [3213]" strokeweight=".5pt">
                <v:stroke opacity="13107f" joinstyle="miter"/>
              </v:line>
            </w:pict>
          </mc:Fallback>
        </mc:AlternateContent>
      </w:r>
    </w:p>
    <w:p w14:paraId="7908B9E1" w14:textId="77777777" w:rsidR="00C25A5B" w:rsidRDefault="00C25A5B" w:rsidP="00C25A5B">
      <w:pPr>
        <w:jc w:val="center"/>
      </w:pPr>
    </w:p>
    <w:p w14:paraId="5ECFEAB1" w14:textId="77777777" w:rsidR="00C25A5B" w:rsidRDefault="00C25A5B" w:rsidP="00C25A5B">
      <w:pPr>
        <w:jc w:val="center"/>
      </w:pPr>
    </w:p>
    <w:p w14:paraId="696B6F2D" w14:textId="77777777" w:rsidR="00C25A5B" w:rsidRDefault="00C25A5B" w:rsidP="00C25A5B">
      <w:pPr>
        <w:jc w:val="center"/>
        <w:rPr>
          <w:color w:val="FF6B00"/>
        </w:rPr>
      </w:pPr>
    </w:p>
    <w:p w14:paraId="1A3BDDE5" w14:textId="77777777" w:rsidR="0086685C" w:rsidRDefault="0086685C" w:rsidP="00C25A5B">
      <w:pPr>
        <w:jc w:val="center"/>
        <w:rPr>
          <w:color w:val="FF6B00"/>
        </w:rPr>
      </w:pPr>
    </w:p>
    <w:p w14:paraId="28AB14DE" w14:textId="77777777" w:rsidR="0086685C" w:rsidRPr="00F21C11" w:rsidRDefault="0086685C" w:rsidP="00C25A5B">
      <w:pPr>
        <w:jc w:val="center"/>
        <w:rPr>
          <w:color w:val="FF6B00"/>
        </w:rPr>
      </w:pPr>
    </w:p>
    <w:p w14:paraId="0616DED8" w14:textId="7D04E0D7" w:rsidR="00881356" w:rsidRPr="006D591A" w:rsidRDefault="00881356" w:rsidP="00881356">
      <w:pPr>
        <w:spacing w:line="216" w:lineRule="auto"/>
        <w:rPr>
          <w:rFonts w:ascii="UniZgLight" w:hAnsi="UniZgLight"/>
          <w:sz w:val="56"/>
          <w:szCs w:val="56"/>
        </w:rPr>
      </w:pPr>
      <w:r>
        <w:rPr>
          <w:rFonts w:ascii="UniZgMedium" w:hAnsi="UniZgMedium"/>
          <w:b/>
          <w:bCs/>
          <w:sz w:val="144"/>
          <w:szCs w:val="144"/>
        </w:rPr>
        <w:t>Prijava</w:t>
      </w:r>
      <w:r w:rsidRPr="006D591A">
        <w:rPr>
          <w:rFonts w:ascii="UniZgMedium" w:hAnsi="UniZgMedium"/>
          <w:sz w:val="96"/>
          <w:szCs w:val="96"/>
        </w:rPr>
        <w:t xml:space="preserve"> </w:t>
      </w:r>
      <w:r>
        <w:rPr>
          <w:rFonts w:ascii="UniZgMedium" w:hAnsi="UniZgMedium"/>
          <w:sz w:val="96"/>
          <w:szCs w:val="96"/>
        </w:rPr>
        <w:t>žiga</w:t>
      </w:r>
      <w:r w:rsidRPr="006D591A">
        <w:rPr>
          <w:rFonts w:ascii="UniZgMedium" w:hAnsi="UniZgMedium"/>
          <w:sz w:val="96"/>
          <w:szCs w:val="96"/>
        </w:rPr>
        <w:t xml:space="preserve"> </w:t>
      </w:r>
      <w:r w:rsidR="00C512C7" w:rsidRPr="006D591A">
        <w:rPr>
          <w:rFonts w:ascii="UniZgMedium" w:hAnsi="UniZgMedium"/>
          <w:sz w:val="96"/>
          <w:szCs w:val="96"/>
        </w:rPr>
        <w:t>Sveučilišta u Zagrebu</w:t>
      </w:r>
      <w:r w:rsidR="00C512C7" w:rsidRPr="006D591A">
        <w:rPr>
          <w:rFonts w:ascii="UniZgMedium" w:hAnsi="UniZgMedium"/>
          <w:sz w:val="96"/>
          <w:szCs w:val="96"/>
        </w:rPr>
        <w:t xml:space="preserve"> </w:t>
      </w:r>
      <w:r w:rsidRPr="006D591A">
        <w:rPr>
          <w:rFonts w:ascii="UniZgMedium" w:hAnsi="UniZgMedium"/>
          <w:sz w:val="96"/>
          <w:szCs w:val="96"/>
        </w:rPr>
        <w:t>Građevinsko</w:t>
      </w:r>
      <w:r>
        <w:rPr>
          <w:rFonts w:ascii="UniZgMedium" w:hAnsi="UniZgMedium"/>
          <w:sz w:val="96"/>
          <w:szCs w:val="96"/>
        </w:rPr>
        <w:t>g</w:t>
      </w:r>
      <w:r w:rsidRPr="006D591A">
        <w:rPr>
          <w:rFonts w:ascii="UniZgMedium" w:hAnsi="UniZgMedium"/>
          <w:sz w:val="96"/>
          <w:szCs w:val="96"/>
        </w:rPr>
        <w:t xml:space="preserve"> fakultet</w:t>
      </w:r>
      <w:r>
        <w:rPr>
          <w:rFonts w:ascii="UniZgMedium" w:hAnsi="UniZgMedium"/>
          <w:sz w:val="96"/>
          <w:szCs w:val="96"/>
        </w:rPr>
        <w:t>a</w:t>
      </w:r>
      <w:r w:rsidRPr="006D591A">
        <w:rPr>
          <w:rFonts w:ascii="UniZgMedium" w:hAnsi="UniZgMedium"/>
          <w:sz w:val="96"/>
          <w:szCs w:val="96"/>
        </w:rPr>
        <w:t xml:space="preserve"> </w:t>
      </w:r>
    </w:p>
    <w:p w14:paraId="5994FA3F" w14:textId="4367F460" w:rsidR="00C25A5B" w:rsidRDefault="00C25A5B" w:rsidP="00C25A5B">
      <w:pPr>
        <w:jc w:val="center"/>
      </w:pPr>
    </w:p>
    <w:p w14:paraId="4351281D" w14:textId="77777777" w:rsidR="00C25A5B" w:rsidRDefault="00C25A5B" w:rsidP="00C25A5B">
      <w:pPr>
        <w:jc w:val="center"/>
      </w:pPr>
    </w:p>
    <w:p w14:paraId="1B7CC996" w14:textId="77777777" w:rsidR="00C25A5B" w:rsidRDefault="00C25A5B" w:rsidP="00C25A5B">
      <w:pPr>
        <w:jc w:val="center"/>
      </w:pPr>
    </w:p>
    <w:p w14:paraId="1D4E4C4C" w14:textId="77777777" w:rsidR="00C25A5B" w:rsidRDefault="00C25A5B" w:rsidP="00C25A5B">
      <w:pPr>
        <w:jc w:val="center"/>
      </w:pPr>
    </w:p>
    <w:p w14:paraId="2E20168B" w14:textId="77777777" w:rsidR="00C25A5B" w:rsidRDefault="00C25A5B" w:rsidP="00C25A5B">
      <w:pPr>
        <w:jc w:val="center"/>
      </w:pPr>
    </w:p>
    <w:p w14:paraId="200D9DA7" w14:textId="77777777" w:rsidR="00C25A5B" w:rsidRDefault="00C25A5B" w:rsidP="00C25A5B">
      <w:pPr>
        <w:jc w:val="center"/>
      </w:pPr>
    </w:p>
    <w:p w14:paraId="4565CA43" w14:textId="77777777" w:rsidR="00C25A5B" w:rsidRDefault="00C25A5B" w:rsidP="00C25A5B">
      <w:pPr>
        <w:jc w:val="center"/>
      </w:pPr>
    </w:p>
    <w:p w14:paraId="6D0D47D3" w14:textId="77777777" w:rsidR="00C25A5B" w:rsidRDefault="00C25A5B" w:rsidP="00C25A5B">
      <w:pPr>
        <w:jc w:val="center"/>
      </w:pPr>
    </w:p>
    <w:p w14:paraId="3189618A" w14:textId="77777777" w:rsidR="00C25A5B" w:rsidRDefault="00C25A5B" w:rsidP="00C25A5B">
      <w:pPr>
        <w:jc w:val="center"/>
      </w:pPr>
    </w:p>
    <w:p w14:paraId="7E6FB695" w14:textId="77777777" w:rsidR="00C25A5B" w:rsidRDefault="00C25A5B" w:rsidP="00C25A5B">
      <w:pPr>
        <w:jc w:val="center"/>
      </w:pPr>
    </w:p>
    <w:p w14:paraId="1EBC6EF6" w14:textId="77777777" w:rsidR="00C25A5B" w:rsidRDefault="00C25A5B" w:rsidP="00C25A5B">
      <w:pPr>
        <w:jc w:val="center"/>
      </w:pPr>
    </w:p>
    <w:p w14:paraId="092D7F54" w14:textId="77777777" w:rsidR="00824C91" w:rsidRDefault="00824C91" w:rsidP="00C25A5B"/>
    <w:p w14:paraId="404402FD" w14:textId="77777777" w:rsidR="00824C91" w:rsidRDefault="00824C91" w:rsidP="00C25A5B"/>
    <w:p w14:paraId="2F7194A8" w14:textId="77777777" w:rsidR="00824C91" w:rsidRDefault="00824C91" w:rsidP="00C25A5B"/>
    <w:p w14:paraId="1ECD32CE" w14:textId="77777777" w:rsidR="00824C91" w:rsidRDefault="00824C91" w:rsidP="00C25A5B"/>
    <w:p w14:paraId="6E3A283D" w14:textId="77777777" w:rsidR="00824C91" w:rsidRDefault="00824C91" w:rsidP="00C25A5B"/>
    <w:p w14:paraId="0C8A3629" w14:textId="77777777" w:rsidR="00824C91" w:rsidRDefault="00824C91" w:rsidP="00C25A5B"/>
    <w:p w14:paraId="6C4E6AB0" w14:textId="77777777" w:rsidR="00824C91" w:rsidRDefault="00824C91" w:rsidP="00C25A5B"/>
    <w:p w14:paraId="4FA7E7F9" w14:textId="77777777" w:rsidR="00824C91" w:rsidRDefault="00824C91" w:rsidP="00C25A5B"/>
    <w:p w14:paraId="471AFFB9" w14:textId="77777777" w:rsidR="00824C91" w:rsidRDefault="00824C91" w:rsidP="00C25A5B"/>
    <w:p w14:paraId="5D1EE0C6" w14:textId="777B0FD3" w:rsidR="00C25A5B" w:rsidRDefault="00C25A5B" w:rsidP="00C25A5B">
      <w:r>
        <w:rPr>
          <w:noProof/>
        </w:rPr>
        <w:lastRenderedPageBreak/>
        <w:drawing>
          <wp:inline distT="0" distB="0" distL="0" distR="0" wp14:anchorId="619DD25F" wp14:editId="7E9C7F5E">
            <wp:extent cx="750627" cy="785112"/>
            <wp:effectExtent l="0" t="0" r="0" b="0"/>
            <wp:docPr id="9" name="Picture 9" descr="A black and orange and grey geometric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orange and grey geometric shape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4260" cy="799372"/>
                    </a:xfrm>
                    <a:prstGeom prst="rect">
                      <a:avLst/>
                    </a:prstGeom>
                  </pic:spPr>
                </pic:pic>
              </a:graphicData>
            </a:graphic>
          </wp:inline>
        </w:drawing>
      </w:r>
    </w:p>
    <w:p w14:paraId="2C3D330F" w14:textId="77777777" w:rsidR="005E61DB" w:rsidRDefault="005E61DB" w:rsidP="00420D88">
      <w:pPr>
        <w:jc w:val="both"/>
        <w:rPr>
          <w:rFonts w:ascii="Titillium Web" w:hAnsi="Titillium Web" w:cs="Calibri"/>
          <w:b/>
          <w:bCs/>
          <w:i/>
          <w:iCs/>
        </w:rPr>
      </w:pPr>
    </w:p>
    <w:p w14:paraId="255CE44A" w14:textId="77777777" w:rsidR="005E61DB" w:rsidRDefault="005E61DB" w:rsidP="00420D88">
      <w:pPr>
        <w:jc w:val="both"/>
        <w:rPr>
          <w:rFonts w:ascii="Titillium Web" w:hAnsi="Titillium Web" w:cs="Calibri"/>
          <w:b/>
          <w:bCs/>
          <w:i/>
          <w:iCs/>
        </w:rPr>
      </w:pPr>
    </w:p>
    <w:p w14:paraId="2ED44EB0" w14:textId="42DCA2C3" w:rsidR="00F82343" w:rsidRPr="005E61DB" w:rsidRDefault="00F82343" w:rsidP="00420D88">
      <w:pPr>
        <w:jc w:val="both"/>
        <w:rPr>
          <w:rFonts w:ascii="Titillium Web" w:hAnsi="Titillium Web" w:cs="Calibri"/>
          <w:b/>
          <w:bCs/>
        </w:rPr>
      </w:pPr>
      <w:r w:rsidRPr="005E61DB">
        <w:rPr>
          <w:rFonts w:ascii="Titillium Web" w:hAnsi="Titillium Web" w:cs="Calibri"/>
          <w:b/>
          <w:bCs/>
        </w:rPr>
        <w:t>Uvodna napomena</w:t>
      </w:r>
    </w:p>
    <w:p w14:paraId="70414D36" w14:textId="77777777" w:rsidR="00F82343" w:rsidRPr="00881356" w:rsidRDefault="00F82343" w:rsidP="00420D88">
      <w:pPr>
        <w:jc w:val="both"/>
        <w:rPr>
          <w:rFonts w:ascii="Titillium Web" w:hAnsi="Titillium Web" w:cs="Calibri"/>
        </w:rPr>
      </w:pPr>
    </w:p>
    <w:p w14:paraId="00667AB5" w14:textId="6520A695" w:rsidR="00FB3B01" w:rsidRPr="00881356" w:rsidRDefault="00420D88" w:rsidP="00420D88">
      <w:pPr>
        <w:jc w:val="both"/>
        <w:rPr>
          <w:rFonts w:ascii="Titillium Web" w:hAnsi="Titillium Web" w:cs="Calibri"/>
        </w:rPr>
      </w:pPr>
      <w:r w:rsidRPr="00881356">
        <w:rPr>
          <w:rFonts w:ascii="Titillium Web" w:hAnsi="Titillium Web" w:cs="Calibri"/>
        </w:rPr>
        <w:t>Ova prijava služi za evidenciju</w:t>
      </w:r>
      <w:r w:rsidR="00FB3B01" w:rsidRPr="00881356">
        <w:rPr>
          <w:rFonts w:ascii="Titillium Web" w:hAnsi="Titillium Web" w:cs="Calibri"/>
        </w:rPr>
        <w:t xml:space="preserve"> prijavljenih </w:t>
      </w:r>
      <w:r w:rsidR="00545A29">
        <w:rPr>
          <w:rFonts w:ascii="Titillium Web" w:hAnsi="Titillium Web" w:cs="Calibri"/>
        </w:rPr>
        <w:t>žigova</w:t>
      </w:r>
      <w:r w:rsidR="00545A29">
        <w:rPr>
          <w:rStyle w:val="FootnoteReference"/>
          <w:rFonts w:ascii="Titillium Web" w:hAnsi="Titillium Web" w:cs="Calibri"/>
        </w:rPr>
        <w:footnoteReference w:id="2"/>
      </w:r>
      <w:r w:rsidR="00FB3B01" w:rsidRPr="00881356">
        <w:rPr>
          <w:rFonts w:ascii="Titillium Web" w:hAnsi="Titillium Web" w:cs="Calibri"/>
        </w:rPr>
        <w:t xml:space="preserve"> </w:t>
      </w:r>
      <w:r w:rsidR="00C512C7" w:rsidRPr="00881356">
        <w:rPr>
          <w:rFonts w:ascii="Titillium Web" w:hAnsi="Titillium Web" w:cs="Calibri"/>
        </w:rPr>
        <w:t>Sveučilišta u Zagrebu</w:t>
      </w:r>
      <w:r w:rsidR="00C512C7" w:rsidRPr="00881356">
        <w:rPr>
          <w:rFonts w:ascii="Titillium Web" w:hAnsi="Titillium Web" w:cs="Calibri"/>
        </w:rPr>
        <w:t xml:space="preserve"> </w:t>
      </w:r>
      <w:r w:rsidR="00FB3B01" w:rsidRPr="00881356">
        <w:rPr>
          <w:rFonts w:ascii="Titillium Web" w:hAnsi="Titillium Web" w:cs="Calibri"/>
        </w:rPr>
        <w:t>Građevinskog fakulteta.</w:t>
      </w:r>
    </w:p>
    <w:p w14:paraId="035FECB6" w14:textId="77777777" w:rsidR="00420D88" w:rsidRPr="00881356" w:rsidRDefault="00420D88" w:rsidP="00420D88">
      <w:pPr>
        <w:jc w:val="both"/>
        <w:rPr>
          <w:rFonts w:ascii="Titillium Web" w:hAnsi="Titillium Web" w:cs="Calibri"/>
        </w:rPr>
      </w:pPr>
      <w:r w:rsidRPr="00881356">
        <w:rPr>
          <w:rFonts w:ascii="Titillium Web" w:hAnsi="Titillium Web" w:cs="Calibri"/>
        </w:rPr>
        <w:t xml:space="preserve">Prije podnošenja prijave sastavnici, za pomoć u ispunjavanju prijave možete kontaktirati: </w:t>
      </w:r>
    </w:p>
    <w:p w14:paraId="703A3BC5" w14:textId="30A38915" w:rsidR="00420D88" w:rsidRPr="00881356" w:rsidRDefault="00420D88" w:rsidP="00420D88">
      <w:pPr>
        <w:ind w:left="708"/>
        <w:jc w:val="both"/>
        <w:rPr>
          <w:rFonts w:ascii="Titillium Web" w:hAnsi="Titillium Web" w:cs="Calibri"/>
          <w:iCs/>
        </w:rPr>
      </w:pPr>
      <w:r w:rsidRPr="00881356">
        <w:rPr>
          <w:rFonts w:ascii="Titillium Web" w:hAnsi="Titillium Web" w:cs="Calibri"/>
          <w:iCs/>
        </w:rPr>
        <w:t>Sveučilište u Zagrebu Građevinski fakultet</w:t>
      </w:r>
    </w:p>
    <w:p w14:paraId="0513F9DE" w14:textId="77777777" w:rsidR="00420D88" w:rsidRPr="00881356" w:rsidRDefault="00420D88" w:rsidP="00420D88">
      <w:pPr>
        <w:ind w:left="708"/>
        <w:jc w:val="both"/>
        <w:rPr>
          <w:rFonts w:ascii="Titillium Web" w:hAnsi="Titillium Web" w:cs="Calibri"/>
          <w:iCs/>
        </w:rPr>
      </w:pPr>
      <w:r w:rsidRPr="00881356">
        <w:rPr>
          <w:rFonts w:ascii="Titillium Web" w:hAnsi="Titillium Web" w:cs="Calibri"/>
          <w:iCs/>
        </w:rPr>
        <w:t>Centar za projekte, inovacije i transfer tehnologije</w:t>
      </w:r>
    </w:p>
    <w:p w14:paraId="6A657284" w14:textId="77777777" w:rsidR="00420D88" w:rsidRPr="00881356" w:rsidRDefault="00420D88" w:rsidP="00420D88">
      <w:pPr>
        <w:ind w:left="708"/>
        <w:jc w:val="both"/>
        <w:rPr>
          <w:rFonts w:ascii="Titillium Web" w:hAnsi="Titillium Web" w:cs="Calibri"/>
          <w:iCs/>
        </w:rPr>
      </w:pPr>
      <w:r w:rsidRPr="00881356">
        <w:rPr>
          <w:rFonts w:ascii="Titillium Web" w:hAnsi="Titillium Web" w:cs="Calibri"/>
          <w:iCs/>
        </w:rPr>
        <w:t>Osobe za kontakt:</w:t>
      </w:r>
    </w:p>
    <w:p w14:paraId="50E72CFC" w14:textId="710087A3" w:rsidR="00420D88" w:rsidRPr="00881356" w:rsidRDefault="00420D88" w:rsidP="00420D88">
      <w:pPr>
        <w:numPr>
          <w:ilvl w:val="0"/>
          <w:numId w:val="1"/>
        </w:numPr>
        <w:jc w:val="both"/>
        <w:rPr>
          <w:rFonts w:ascii="Titillium Web" w:hAnsi="Titillium Web" w:cs="Calibri"/>
          <w:iCs/>
        </w:rPr>
      </w:pPr>
      <w:r w:rsidRPr="00881356">
        <w:rPr>
          <w:rFonts w:ascii="Titillium Web" w:hAnsi="Titillium Web" w:cs="Calibri"/>
          <w:iCs/>
        </w:rPr>
        <w:t xml:space="preserve">Kristina Baraba </w:t>
      </w:r>
      <w:proofErr w:type="spellStart"/>
      <w:r w:rsidRPr="00881356">
        <w:rPr>
          <w:rFonts w:ascii="Titillium Web" w:hAnsi="Titillium Web" w:cs="Calibri"/>
          <w:iCs/>
        </w:rPr>
        <w:t>Posarić</w:t>
      </w:r>
      <w:proofErr w:type="spellEnd"/>
      <w:r w:rsidRPr="00881356">
        <w:rPr>
          <w:rFonts w:ascii="Titillium Web" w:hAnsi="Titillium Web" w:cs="Calibri"/>
          <w:iCs/>
        </w:rPr>
        <w:t xml:space="preserve">, voditeljica </w:t>
      </w:r>
      <w:r w:rsidR="00C512C7">
        <w:rPr>
          <w:rFonts w:ascii="Titillium Web" w:hAnsi="Titillium Web" w:cs="Calibri"/>
          <w:iCs/>
        </w:rPr>
        <w:t>(</w:t>
      </w:r>
      <w:proofErr w:type="spellStart"/>
      <w:r w:rsidR="00C512C7">
        <w:rPr>
          <w:rFonts w:ascii="Titillium Web" w:hAnsi="Titillium Web" w:cs="Calibri"/>
          <w:iCs/>
        </w:rPr>
        <w:t>rodiljni</w:t>
      </w:r>
      <w:proofErr w:type="spellEnd"/>
      <w:r w:rsidR="00C512C7">
        <w:rPr>
          <w:rFonts w:ascii="Titillium Web" w:hAnsi="Titillium Web" w:cs="Calibri"/>
          <w:iCs/>
        </w:rPr>
        <w:t xml:space="preserve"> dopust)</w:t>
      </w:r>
    </w:p>
    <w:p w14:paraId="4FB5A320" w14:textId="10CB3AEE" w:rsidR="00420D88" w:rsidRPr="00881356" w:rsidRDefault="00420D88" w:rsidP="00420D88">
      <w:pPr>
        <w:numPr>
          <w:ilvl w:val="0"/>
          <w:numId w:val="1"/>
        </w:numPr>
        <w:jc w:val="both"/>
        <w:rPr>
          <w:rFonts w:ascii="Titillium Web" w:hAnsi="Titillium Web" w:cs="Calibri"/>
          <w:iCs/>
        </w:rPr>
      </w:pPr>
      <w:r w:rsidRPr="00881356">
        <w:rPr>
          <w:rFonts w:ascii="Titillium Web" w:hAnsi="Titillium Web" w:cs="Calibri"/>
          <w:iCs/>
        </w:rPr>
        <w:t>Ida Javorski Milošić, voditeljic</w:t>
      </w:r>
      <w:r w:rsidR="00C512C7">
        <w:rPr>
          <w:rFonts w:ascii="Titillium Web" w:hAnsi="Titillium Web" w:cs="Calibri"/>
          <w:iCs/>
        </w:rPr>
        <w:t>a</w:t>
      </w:r>
    </w:p>
    <w:p w14:paraId="063FEBD4" w14:textId="77777777" w:rsidR="00420D88" w:rsidRDefault="00420D88" w:rsidP="00420D88">
      <w:pPr>
        <w:ind w:left="708"/>
        <w:jc w:val="both"/>
        <w:rPr>
          <w:rFonts w:ascii="Titillium Web" w:hAnsi="Titillium Web" w:cs="Calibri"/>
          <w:iCs/>
        </w:rPr>
      </w:pPr>
      <w:r w:rsidRPr="00881356">
        <w:rPr>
          <w:rFonts w:ascii="Titillium Web" w:hAnsi="Titillium Web" w:cs="Calibri"/>
          <w:iCs/>
        </w:rPr>
        <w:t xml:space="preserve">E-mail: cepitt@grad.unizg.hr </w:t>
      </w:r>
    </w:p>
    <w:p w14:paraId="480B91FC" w14:textId="77777777" w:rsidR="00254F36" w:rsidRDefault="00254F36" w:rsidP="00420D88">
      <w:pPr>
        <w:rPr>
          <w:rFonts w:ascii="Titillium Web" w:hAnsi="Titillium Web" w:cs="Calibri"/>
          <w:b/>
        </w:rPr>
      </w:pPr>
    </w:p>
    <w:tbl>
      <w:tblPr>
        <w:tblStyle w:val="TableGrid"/>
        <w:tblW w:w="0" w:type="auto"/>
        <w:tblLook w:val="04A0" w:firstRow="1" w:lastRow="0" w:firstColumn="1" w:lastColumn="0" w:noHBand="0" w:noVBand="1"/>
      </w:tblPr>
      <w:tblGrid>
        <w:gridCol w:w="1709"/>
        <w:gridCol w:w="7307"/>
      </w:tblGrid>
      <w:tr w:rsidR="005E61DB" w:rsidRPr="00692323" w14:paraId="5836A64E" w14:textId="77777777" w:rsidTr="005E61DB">
        <w:trPr>
          <w:trHeight w:val="5368"/>
        </w:trPr>
        <w:tc>
          <w:tcPr>
            <w:tcW w:w="1709" w:type="dxa"/>
          </w:tcPr>
          <w:p w14:paraId="0CB2BE52" w14:textId="77777777"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r w:rsidRPr="005E61DB">
              <w:rPr>
                <w:rFonts w:ascii="Titillium Web" w:hAnsi="Titillium Web" w:cs="Open Sans"/>
                <w:color w:val="414145"/>
                <w:sz w:val="21"/>
                <w:szCs w:val="21"/>
              </w:rPr>
              <w:lastRenderedPageBreak/>
              <w:t>Prikaz žiga</w:t>
            </w:r>
          </w:p>
        </w:tc>
        <w:tc>
          <w:tcPr>
            <w:tcW w:w="7307" w:type="dxa"/>
          </w:tcPr>
          <w:p w14:paraId="403BFBC6" w14:textId="77777777" w:rsidR="00692323" w:rsidRPr="005E61DB" w:rsidRDefault="00692323" w:rsidP="00871079">
            <w:pPr>
              <w:pStyle w:val="box460215"/>
              <w:spacing w:after="135"/>
              <w:rPr>
                <w:rFonts w:ascii="Titillium Web" w:eastAsia="MS Gothic" w:hAnsi="Titillium Web" w:cs="Open Sans"/>
                <w:sz w:val="21"/>
                <w:szCs w:val="21"/>
              </w:rPr>
            </w:pPr>
          </w:p>
        </w:tc>
      </w:tr>
      <w:tr w:rsidR="005E61DB" w:rsidRPr="00692323" w14:paraId="742039E4" w14:textId="77777777" w:rsidTr="005E61DB">
        <w:trPr>
          <w:trHeight w:val="5368"/>
        </w:trPr>
        <w:tc>
          <w:tcPr>
            <w:tcW w:w="1709" w:type="dxa"/>
          </w:tcPr>
          <w:p w14:paraId="4396F433" w14:textId="6F32A173"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r w:rsidRPr="005E61DB">
              <w:rPr>
                <w:rFonts w:ascii="Titillium Web" w:hAnsi="Titillium Web" w:cs="Open Sans"/>
                <w:color w:val="414145"/>
                <w:sz w:val="21"/>
                <w:szCs w:val="21"/>
              </w:rPr>
              <w:t>Prijava se podnosi za</w:t>
            </w:r>
          </w:p>
        </w:tc>
        <w:tc>
          <w:tcPr>
            <w:tcW w:w="7307" w:type="dxa"/>
          </w:tcPr>
          <w:p w14:paraId="112317A8" w14:textId="77777777" w:rsidR="00692323" w:rsidRPr="005E61DB" w:rsidRDefault="00000000" w:rsidP="00692323">
            <w:pPr>
              <w:pStyle w:val="box460215"/>
              <w:numPr>
                <w:ilvl w:val="0"/>
                <w:numId w:val="4"/>
              </w:numPr>
              <w:spacing w:before="0" w:beforeAutospacing="0" w:after="0" w:afterAutospacing="0"/>
              <w:rPr>
                <w:rFonts w:ascii="Titillium Web" w:eastAsia="MS Gothic" w:hAnsi="Titillium Web" w:cs="Open Sans"/>
                <w:sz w:val="21"/>
                <w:szCs w:val="21"/>
              </w:rPr>
            </w:pPr>
            <w:sdt>
              <w:sdtPr>
                <w:rPr>
                  <w:rFonts w:ascii="Titillium Web" w:eastAsia="MS Gothic" w:hAnsi="Titillium Web" w:cs="Open Sans"/>
                  <w:sz w:val="21"/>
                  <w:szCs w:val="21"/>
                </w:rPr>
                <w:id w:val="113953703"/>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w:t>
            </w:r>
            <w:r w:rsidR="00692323" w:rsidRPr="005E61DB">
              <w:rPr>
                <w:rFonts w:ascii="Titillium Web" w:eastAsia="MS Gothic" w:hAnsi="Titillium Web" w:cs="Open Sans"/>
                <w:sz w:val="21"/>
                <w:szCs w:val="21"/>
              </w:rPr>
              <w:t>verbalni žig u znakovima standardnog oblika</w:t>
            </w:r>
          </w:p>
          <w:p w14:paraId="0A4F3451"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2139176925"/>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w:t>
            </w:r>
            <w:r w:rsidR="00692323" w:rsidRPr="005E61DB">
              <w:rPr>
                <w:rFonts w:ascii="Titillium Web" w:eastAsia="MS Gothic" w:hAnsi="Titillium Web" w:cs="Open Sans"/>
                <w:sz w:val="21"/>
                <w:szCs w:val="21"/>
              </w:rPr>
              <w:t>figurativni žig</w:t>
            </w:r>
          </w:p>
          <w:p w14:paraId="1B96C851"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811874987"/>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w:t>
            </w:r>
            <w:r w:rsidR="00692323" w:rsidRPr="005E61DB">
              <w:rPr>
                <w:rFonts w:ascii="Titillium Web" w:eastAsia="MS Gothic" w:hAnsi="Titillium Web" w:cs="Open Sans"/>
                <w:sz w:val="21"/>
                <w:szCs w:val="21"/>
              </w:rPr>
              <w:t>žig koji čini oblik</w:t>
            </w:r>
          </w:p>
          <w:p w14:paraId="028F8A72"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1073551008"/>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w:t>
            </w:r>
            <w:r w:rsidR="00692323" w:rsidRPr="005E61DB">
              <w:rPr>
                <w:rFonts w:ascii="Titillium Web" w:eastAsia="MS Gothic" w:hAnsi="Titillium Web" w:cs="Open Sans"/>
                <w:sz w:val="21"/>
                <w:szCs w:val="21"/>
              </w:rPr>
              <w:t>pozicijski žig</w:t>
            </w:r>
          </w:p>
          <w:p w14:paraId="57BEE1AC"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1892022587"/>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w:t>
            </w:r>
            <w:r w:rsidR="00692323" w:rsidRPr="005E61DB">
              <w:rPr>
                <w:rFonts w:ascii="Titillium Web" w:eastAsia="MS Gothic" w:hAnsi="Titillium Web" w:cs="Open Sans"/>
                <w:sz w:val="21"/>
                <w:szCs w:val="21"/>
              </w:rPr>
              <w:t>žig uzorka</w:t>
            </w:r>
          </w:p>
          <w:p w14:paraId="50E46E69"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1246849915"/>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w:t>
            </w:r>
            <w:r w:rsidR="00692323" w:rsidRPr="005E61DB">
              <w:rPr>
                <w:rFonts w:ascii="Titillium Web" w:eastAsia="MS Gothic" w:hAnsi="Titillium Web" w:cs="Open Sans"/>
                <w:sz w:val="21"/>
                <w:szCs w:val="21"/>
              </w:rPr>
              <w:t>žig sastavljen isključivo od jedne boje bez obrisa</w:t>
            </w:r>
          </w:p>
          <w:p w14:paraId="666C8457"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1973711163"/>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eastAsia="MS Gothic" w:hAnsi="Titillium Web" w:cs="Open Sans"/>
                <w:sz w:val="21"/>
                <w:szCs w:val="21"/>
              </w:rPr>
              <w:t xml:space="preserve"> žig sastavljen isključivo od kombinacije boja bez obrisa</w:t>
            </w:r>
          </w:p>
          <w:p w14:paraId="6C1DE168"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788657147"/>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eastAsia="MS Gothic" w:hAnsi="Titillium Web" w:cs="Open Sans"/>
                <w:sz w:val="21"/>
                <w:szCs w:val="21"/>
              </w:rPr>
              <w:t xml:space="preserve"> zvučni žig</w:t>
            </w:r>
          </w:p>
          <w:p w14:paraId="515D50E3"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792638132"/>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eastAsia="MS Gothic" w:hAnsi="Titillium Web" w:cs="Open Sans"/>
                <w:sz w:val="21"/>
                <w:szCs w:val="21"/>
              </w:rPr>
              <w:t xml:space="preserve"> žig koji čini pokret</w:t>
            </w:r>
          </w:p>
          <w:p w14:paraId="03F4E2EB"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295604355"/>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eastAsia="MS Gothic" w:hAnsi="Titillium Web" w:cs="Open Sans"/>
                <w:sz w:val="21"/>
                <w:szCs w:val="21"/>
              </w:rPr>
              <w:t xml:space="preserve"> multimedijski žig</w:t>
            </w:r>
          </w:p>
          <w:p w14:paraId="64B20BAA"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1347834296"/>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eastAsia="MS Gothic" w:hAnsi="Titillium Web" w:cs="Open Sans"/>
                <w:sz w:val="21"/>
                <w:szCs w:val="21"/>
              </w:rPr>
              <w:t xml:space="preserve"> hologramski žig</w:t>
            </w:r>
          </w:p>
          <w:p w14:paraId="1D765EBD" w14:textId="77777777" w:rsidR="00692323" w:rsidRPr="005E61DB" w:rsidRDefault="00692323" w:rsidP="00871079">
            <w:pPr>
              <w:pStyle w:val="box460215"/>
              <w:spacing w:before="0" w:beforeAutospacing="0" w:after="0" w:afterAutospacing="0"/>
              <w:ind w:left="720"/>
              <w:rPr>
                <w:rFonts w:ascii="Titillium Web" w:eastAsia="MS Gothic" w:hAnsi="Titillium Web" w:cs="Open Sans"/>
                <w:sz w:val="21"/>
                <w:szCs w:val="21"/>
              </w:rPr>
            </w:pPr>
          </w:p>
          <w:p w14:paraId="611D344D" w14:textId="77777777" w:rsidR="00692323" w:rsidRPr="005E61DB" w:rsidRDefault="00000000" w:rsidP="00692323">
            <w:pPr>
              <w:pStyle w:val="box460215"/>
              <w:numPr>
                <w:ilvl w:val="0"/>
                <w:numId w:val="4"/>
              </w:numPr>
              <w:spacing w:before="0" w:beforeAutospacing="0" w:after="0" w:afterAutospacing="0"/>
              <w:rPr>
                <w:rFonts w:ascii="Titillium Web" w:eastAsia="MS Gothic" w:hAnsi="Titillium Web" w:cs="Open Sans"/>
                <w:sz w:val="21"/>
                <w:szCs w:val="21"/>
              </w:rPr>
            </w:pPr>
            <w:sdt>
              <w:sdtPr>
                <w:rPr>
                  <w:rFonts w:ascii="Titillium Web" w:eastAsia="MS Gothic" w:hAnsi="Titillium Web" w:cs="Open Sans"/>
                  <w:sz w:val="21"/>
                  <w:szCs w:val="21"/>
                </w:rPr>
                <w:id w:val="-1964191029"/>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individualni žig</w:t>
            </w:r>
          </w:p>
          <w:p w14:paraId="386C5E4A"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718485232"/>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zajednički </w:t>
            </w:r>
            <w:r w:rsidR="00692323" w:rsidRPr="005E61DB">
              <w:rPr>
                <w:rFonts w:ascii="Titillium Web" w:eastAsia="MS Gothic" w:hAnsi="Titillium Web" w:cs="Open Sans"/>
                <w:sz w:val="21"/>
                <w:szCs w:val="21"/>
              </w:rPr>
              <w:t>žig</w:t>
            </w:r>
          </w:p>
          <w:p w14:paraId="306A2170" w14:textId="77777777" w:rsidR="00692323" w:rsidRPr="005E61DB" w:rsidRDefault="00000000" w:rsidP="00871079">
            <w:pPr>
              <w:pStyle w:val="box460215"/>
              <w:spacing w:before="0" w:beforeAutospacing="0" w:after="0" w:afterAutospacing="0"/>
              <w:ind w:left="720"/>
              <w:rPr>
                <w:rFonts w:ascii="Titillium Web" w:hAnsi="Titillium Web" w:cs="Open Sans"/>
                <w:sz w:val="21"/>
                <w:szCs w:val="21"/>
              </w:rPr>
            </w:pPr>
            <w:sdt>
              <w:sdtPr>
                <w:rPr>
                  <w:rFonts w:ascii="Titillium Web" w:eastAsia="MS Gothic" w:hAnsi="Titillium Web" w:cs="Open Sans"/>
                  <w:sz w:val="21"/>
                  <w:szCs w:val="21"/>
                </w:rPr>
                <w:id w:val="-381565720"/>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jamstveni žig</w:t>
            </w:r>
          </w:p>
          <w:p w14:paraId="72919662" w14:textId="77777777" w:rsidR="00692323" w:rsidRPr="005E61DB" w:rsidRDefault="00692323" w:rsidP="00871079">
            <w:pPr>
              <w:pStyle w:val="box460215"/>
              <w:spacing w:before="0" w:beforeAutospacing="0" w:after="0" w:afterAutospacing="0"/>
              <w:ind w:left="720"/>
              <w:rPr>
                <w:rFonts w:ascii="Titillium Web" w:hAnsi="Titillium Web" w:cs="Open Sans"/>
                <w:sz w:val="21"/>
                <w:szCs w:val="21"/>
              </w:rPr>
            </w:pPr>
          </w:p>
          <w:p w14:paraId="56431F7E" w14:textId="0ED96DA0" w:rsidR="00692323" w:rsidRPr="005E61DB" w:rsidRDefault="00000000" w:rsidP="00692323">
            <w:pPr>
              <w:pStyle w:val="box460215"/>
              <w:numPr>
                <w:ilvl w:val="0"/>
                <w:numId w:val="4"/>
              </w:numPr>
              <w:spacing w:before="0" w:beforeAutospacing="0" w:after="0" w:afterAutospacing="0"/>
              <w:rPr>
                <w:rFonts w:ascii="Titillium Web" w:eastAsia="MS Gothic" w:hAnsi="Titillium Web" w:cs="Open Sans"/>
                <w:sz w:val="21"/>
                <w:szCs w:val="21"/>
              </w:rPr>
            </w:pPr>
            <w:sdt>
              <w:sdtPr>
                <w:rPr>
                  <w:rFonts w:ascii="Titillium Web" w:eastAsia="MS Gothic" w:hAnsi="Titillium Web" w:cs="Open Sans"/>
                  <w:sz w:val="21"/>
                  <w:szCs w:val="21"/>
                </w:rPr>
                <w:id w:val="1503705310"/>
                <w14:checkbox>
                  <w14:checked w14:val="0"/>
                  <w14:checkedState w14:val="2612" w14:font="MS Gothic"/>
                  <w14:uncheckedState w14:val="2610" w14:font="MS Gothic"/>
                </w14:checkbox>
              </w:sdtPr>
              <w:sdtContent>
                <w:r w:rsidR="005E61DB">
                  <w:rPr>
                    <w:rFonts w:ascii="MS Gothic" w:eastAsia="MS Gothic" w:hAnsi="MS Gothic" w:cs="Open Sans" w:hint="eastAsia"/>
                    <w:sz w:val="21"/>
                    <w:szCs w:val="21"/>
                  </w:rPr>
                  <w:t>☐</w:t>
                </w:r>
              </w:sdtContent>
            </w:sdt>
            <w:r w:rsidR="00692323" w:rsidRPr="005E61DB">
              <w:rPr>
                <w:rFonts w:ascii="Titillium Web" w:eastAsia="MS Gothic" w:hAnsi="Titillium Web" w:cs="Open Sans"/>
                <w:sz w:val="21"/>
                <w:szCs w:val="21"/>
              </w:rPr>
              <w:t xml:space="preserve"> naznaka boja ili opće priznatosti kod boje ako se žig sastoji isključivo od jedne boje ili kombinacije boja: ________________________________________________</w:t>
            </w:r>
          </w:p>
          <w:p w14:paraId="681C0235" w14:textId="77777777" w:rsidR="00692323" w:rsidRPr="005E61DB" w:rsidRDefault="00000000" w:rsidP="00871079">
            <w:pPr>
              <w:pStyle w:val="box460215"/>
              <w:spacing w:before="0" w:beforeAutospacing="0" w:after="0" w:afterAutospacing="0"/>
              <w:ind w:left="720"/>
              <w:rPr>
                <w:rFonts w:ascii="Titillium Web" w:hAnsi="Titillium Web" w:cs="Open Sans"/>
                <w:sz w:val="21"/>
                <w:szCs w:val="21"/>
              </w:rPr>
            </w:pPr>
            <w:sdt>
              <w:sdtPr>
                <w:rPr>
                  <w:rFonts w:ascii="Titillium Web" w:eastAsia="MS Gothic" w:hAnsi="Titillium Web" w:cs="Open Sans"/>
                  <w:sz w:val="21"/>
                  <w:szCs w:val="21"/>
                </w:rPr>
                <w:id w:val="2118245046"/>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transliteracija žiga</w:t>
            </w:r>
          </w:p>
          <w:p w14:paraId="158D9881" w14:textId="77777777" w:rsidR="00692323" w:rsidRPr="005E61DB" w:rsidRDefault="00000000" w:rsidP="00871079">
            <w:pPr>
              <w:pStyle w:val="box460215"/>
              <w:spacing w:before="0" w:beforeAutospacing="0" w:after="0" w:afterAutospacing="0"/>
              <w:ind w:left="720"/>
              <w:rPr>
                <w:rFonts w:ascii="Titillium Web" w:eastAsia="MS Gothic" w:hAnsi="Titillium Web" w:cs="Open Sans"/>
                <w:sz w:val="21"/>
                <w:szCs w:val="21"/>
              </w:rPr>
            </w:pPr>
            <w:sdt>
              <w:sdtPr>
                <w:rPr>
                  <w:rFonts w:ascii="Titillium Web" w:eastAsia="MS Gothic" w:hAnsi="Titillium Web" w:cs="Open Sans"/>
                  <w:sz w:val="21"/>
                  <w:szCs w:val="21"/>
                </w:rPr>
                <w:id w:val="-193545191"/>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opis žiga</w:t>
            </w:r>
          </w:p>
        </w:tc>
      </w:tr>
      <w:tr w:rsidR="005E61DB" w:rsidRPr="00692323" w14:paraId="0E44AF57" w14:textId="77777777" w:rsidTr="005E61DB">
        <w:tc>
          <w:tcPr>
            <w:tcW w:w="1709" w:type="dxa"/>
          </w:tcPr>
          <w:p w14:paraId="1359E667" w14:textId="5FFFB0E8"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r w:rsidRPr="005E61DB">
              <w:rPr>
                <w:rFonts w:ascii="Titillium Web" w:hAnsi="Titillium Web" w:cs="Open Sans"/>
                <w:color w:val="414145"/>
                <w:sz w:val="21"/>
                <w:szCs w:val="21"/>
              </w:rPr>
              <w:t>Vrsta prijave</w:t>
            </w:r>
          </w:p>
        </w:tc>
        <w:tc>
          <w:tcPr>
            <w:tcW w:w="7307" w:type="dxa"/>
          </w:tcPr>
          <w:p w14:paraId="11E1E816" w14:textId="77777777" w:rsidR="00692323" w:rsidRPr="005E61DB" w:rsidRDefault="00000000" w:rsidP="005E61DB">
            <w:pPr>
              <w:pStyle w:val="box460215"/>
              <w:spacing w:before="0" w:beforeAutospacing="0" w:after="0" w:afterAutospacing="0"/>
              <w:rPr>
                <w:rFonts w:ascii="Titillium Web" w:hAnsi="Titillium Web" w:cs="Open Sans"/>
                <w:color w:val="414145"/>
                <w:sz w:val="21"/>
                <w:szCs w:val="21"/>
              </w:rPr>
            </w:pPr>
            <w:sdt>
              <w:sdtPr>
                <w:rPr>
                  <w:rFonts w:ascii="Titillium Web" w:eastAsia="MS Gothic" w:hAnsi="Titillium Web" w:cs="Open Sans"/>
                  <w:sz w:val="21"/>
                  <w:szCs w:val="21"/>
                </w:rPr>
                <w:id w:val="1282231885"/>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nacionalna prijava</w:t>
            </w:r>
            <w:r w:rsidR="00692323" w:rsidRPr="005E61DB">
              <w:rPr>
                <w:rFonts w:ascii="Titillium Web" w:hAnsi="Titillium Web" w:cs="Open Sans"/>
                <w:color w:val="414145"/>
                <w:sz w:val="21"/>
                <w:szCs w:val="21"/>
              </w:rPr>
              <w:t xml:space="preserve"> (DZIV)</w:t>
            </w:r>
          </w:p>
          <w:p w14:paraId="4D2483DC" w14:textId="42B416F7" w:rsidR="00692323" w:rsidRPr="005E61DB" w:rsidRDefault="00000000" w:rsidP="005E61DB">
            <w:pPr>
              <w:pStyle w:val="box460215"/>
              <w:spacing w:before="0" w:beforeAutospacing="0" w:after="0" w:afterAutospacing="0"/>
              <w:rPr>
                <w:rFonts w:ascii="Titillium Web" w:hAnsi="Titillium Web" w:cs="Open Sans"/>
                <w:color w:val="414145"/>
                <w:sz w:val="21"/>
                <w:szCs w:val="21"/>
              </w:rPr>
            </w:pPr>
            <w:sdt>
              <w:sdtPr>
                <w:rPr>
                  <w:rFonts w:ascii="Titillium Web" w:eastAsia="MS Gothic" w:hAnsi="Titillium Web" w:cs="Open Sans"/>
                  <w:sz w:val="21"/>
                  <w:szCs w:val="21"/>
                </w:rPr>
                <w:id w:val="-323201862"/>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europska prijava</w:t>
            </w:r>
            <w:r w:rsidR="00692323" w:rsidRPr="005E61DB">
              <w:rPr>
                <w:rFonts w:ascii="Titillium Web" w:hAnsi="Titillium Web" w:cs="Open Sans"/>
                <w:color w:val="414145"/>
                <w:sz w:val="21"/>
                <w:szCs w:val="21"/>
              </w:rPr>
              <w:t xml:space="preserve"> (EUIPO)</w:t>
            </w:r>
          </w:p>
          <w:p w14:paraId="0CE37D25" w14:textId="77777777" w:rsidR="00692323" w:rsidRPr="005E61DB" w:rsidRDefault="00000000" w:rsidP="005E61DB">
            <w:pPr>
              <w:pStyle w:val="box460215"/>
              <w:spacing w:before="0" w:beforeAutospacing="0" w:after="0" w:afterAutospacing="0"/>
              <w:rPr>
                <w:rFonts w:ascii="Titillium Web" w:hAnsi="Titillium Web" w:cs="Open Sans"/>
                <w:color w:val="414145"/>
                <w:sz w:val="21"/>
                <w:szCs w:val="21"/>
              </w:rPr>
            </w:pPr>
            <w:sdt>
              <w:sdtPr>
                <w:rPr>
                  <w:rFonts w:ascii="Titillium Web" w:eastAsia="MS Gothic" w:hAnsi="Titillium Web" w:cs="Open Sans"/>
                  <w:sz w:val="21"/>
                  <w:szCs w:val="21"/>
                </w:rPr>
                <w:id w:val="1882134554"/>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međunarodna prijava (DZIV-WIPO)</w:t>
            </w:r>
          </w:p>
        </w:tc>
      </w:tr>
      <w:tr w:rsidR="005E61DB" w:rsidRPr="00692323" w14:paraId="73196D4D" w14:textId="77777777" w:rsidTr="005E61DB">
        <w:tc>
          <w:tcPr>
            <w:tcW w:w="1709" w:type="dxa"/>
          </w:tcPr>
          <w:p w14:paraId="7C07473D" w14:textId="4598388D" w:rsidR="00692323" w:rsidRPr="00C512C7" w:rsidRDefault="00692323" w:rsidP="00871079">
            <w:pPr>
              <w:pStyle w:val="box460215"/>
              <w:spacing w:before="0" w:beforeAutospacing="0" w:after="135" w:afterAutospacing="0"/>
              <w:rPr>
                <w:rFonts w:ascii="Titillium Web" w:hAnsi="Titillium Web" w:cs="Open Sans"/>
                <w:color w:val="414145"/>
                <w:sz w:val="21"/>
                <w:szCs w:val="21"/>
              </w:rPr>
            </w:pPr>
            <w:r w:rsidRPr="00C512C7">
              <w:rPr>
                <w:rFonts w:ascii="Titillium Web" w:hAnsi="Titillium Web" w:cs="Open Sans"/>
                <w:color w:val="414145"/>
                <w:sz w:val="21"/>
                <w:szCs w:val="21"/>
              </w:rPr>
              <w:lastRenderedPageBreak/>
              <w:t>Brojevi razreda popisa proizvoda ili usluga za koje se traži registracija</w:t>
            </w:r>
            <w:r w:rsidR="005E61DB" w:rsidRPr="00C512C7">
              <w:rPr>
                <w:rFonts w:ascii="Titillium Web" w:hAnsi="Titillium Web" w:cs="Open Sans"/>
                <w:color w:val="414145"/>
                <w:sz w:val="21"/>
                <w:szCs w:val="21"/>
              </w:rPr>
              <w:t>*</w:t>
            </w:r>
            <w:r w:rsidRPr="00C512C7">
              <w:rPr>
                <w:rFonts w:ascii="Titillium Web" w:hAnsi="Titillium Web" w:cs="Open Sans"/>
                <w:i/>
                <w:iCs/>
                <w:color w:val="414145"/>
                <w:sz w:val="21"/>
                <w:szCs w:val="21"/>
              </w:rPr>
              <w:t xml:space="preserve"> (zaokružiti odgovarajuće ako su poznati)</w:t>
            </w:r>
          </w:p>
        </w:tc>
        <w:tc>
          <w:tcPr>
            <w:tcW w:w="7307" w:type="dxa"/>
          </w:tcPr>
          <w:p w14:paraId="4A81DD73" w14:textId="684D8AE9" w:rsidR="00692323" w:rsidRPr="00C512C7" w:rsidRDefault="00692323" w:rsidP="00692323">
            <w:pPr>
              <w:pStyle w:val="box460215"/>
              <w:spacing w:after="135"/>
              <w:rPr>
                <w:rFonts w:ascii="Titillium Web" w:hAnsi="Titillium Web" w:cs="Open Sans"/>
                <w:color w:val="414145"/>
                <w:sz w:val="21"/>
                <w:szCs w:val="21"/>
              </w:rPr>
            </w:pPr>
            <w:r w:rsidRPr="00C512C7">
              <w:rPr>
                <w:rFonts w:ascii="Titillium Web" w:hAnsi="Titillium Web" w:cs="Open Sans"/>
                <w:color w:val="414145"/>
                <w:sz w:val="21"/>
                <w:szCs w:val="21"/>
              </w:rPr>
              <w:t>1    2    3    4    5    6    7    8    9    10    11    12    13    14    15    16    17    18   19    20    21    22    23    24    25    26    27    28    29    30    31    32    33    34    35    36    37    38    39    40    41    42     43    44    45</w:t>
            </w:r>
          </w:p>
        </w:tc>
      </w:tr>
      <w:tr w:rsidR="005E61DB" w:rsidRPr="00692323" w14:paraId="5244AC2B" w14:textId="77777777" w:rsidTr="005E61DB">
        <w:trPr>
          <w:trHeight w:val="818"/>
        </w:trPr>
        <w:tc>
          <w:tcPr>
            <w:tcW w:w="1709" w:type="dxa"/>
          </w:tcPr>
          <w:p w14:paraId="31830BB9" w14:textId="7BBE4978"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r w:rsidRPr="005E61DB">
              <w:rPr>
                <w:rFonts w:ascii="Titillium Web" w:hAnsi="Titillium Web" w:cs="Open Sans"/>
                <w:color w:val="414145"/>
                <w:sz w:val="21"/>
                <w:szCs w:val="21"/>
              </w:rPr>
              <w:t>Uloga Građevinskog fakulteta u registraciji žiga</w:t>
            </w:r>
          </w:p>
        </w:tc>
        <w:tc>
          <w:tcPr>
            <w:tcW w:w="7307" w:type="dxa"/>
          </w:tcPr>
          <w:p w14:paraId="0B658FA7" w14:textId="77777777"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p>
        </w:tc>
      </w:tr>
      <w:tr w:rsidR="005E61DB" w:rsidRPr="00692323" w14:paraId="45049D2F" w14:textId="77777777" w:rsidTr="005E61DB">
        <w:tc>
          <w:tcPr>
            <w:tcW w:w="1709" w:type="dxa"/>
          </w:tcPr>
          <w:p w14:paraId="2F8DD7CC" w14:textId="34A31211"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r w:rsidRPr="005E61DB">
              <w:rPr>
                <w:rFonts w:ascii="Titillium Web" w:hAnsi="Titillium Web" w:cs="Open Sans"/>
                <w:color w:val="414145"/>
                <w:sz w:val="21"/>
                <w:szCs w:val="21"/>
              </w:rPr>
              <w:t>Podnositelj prijave je</w:t>
            </w:r>
          </w:p>
        </w:tc>
        <w:tc>
          <w:tcPr>
            <w:tcW w:w="7307" w:type="dxa"/>
          </w:tcPr>
          <w:p w14:paraId="6F9C6F58" w14:textId="77777777" w:rsidR="00692323" w:rsidRPr="005E61DB" w:rsidRDefault="00000000" w:rsidP="00871079">
            <w:pPr>
              <w:pStyle w:val="box460215"/>
              <w:spacing w:before="0" w:beforeAutospacing="0" w:after="135" w:afterAutospacing="0"/>
              <w:rPr>
                <w:rFonts w:ascii="Titillium Web" w:hAnsi="Titillium Web" w:cs="Open Sans"/>
                <w:color w:val="414145"/>
                <w:sz w:val="21"/>
                <w:szCs w:val="21"/>
              </w:rPr>
            </w:pPr>
            <w:sdt>
              <w:sdtPr>
                <w:rPr>
                  <w:rFonts w:ascii="Titillium Web" w:eastAsia="MS Gothic" w:hAnsi="Titillium Web" w:cs="Open Sans"/>
                  <w:sz w:val="21"/>
                  <w:szCs w:val="21"/>
                </w:rPr>
                <w:id w:val="562299691"/>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w:t>
            </w:r>
            <w:r w:rsidR="00692323" w:rsidRPr="005E61DB">
              <w:rPr>
                <w:rFonts w:ascii="Titillium Web" w:hAnsi="Titillium Web" w:cs="Open Sans"/>
                <w:color w:val="414145"/>
                <w:sz w:val="21"/>
                <w:szCs w:val="21"/>
              </w:rPr>
              <w:t>Fizička osoba</w:t>
            </w:r>
          </w:p>
          <w:p w14:paraId="5F6872AF" w14:textId="77777777" w:rsidR="00692323" w:rsidRPr="005E61DB" w:rsidRDefault="00000000" w:rsidP="00871079">
            <w:pPr>
              <w:pStyle w:val="box460215"/>
              <w:spacing w:before="0" w:beforeAutospacing="0" w:after="135" w:afterAutospacing="0"/>
              <w:rPr>
                <w:rFonts w:ascii="Titillium Web" w:hAnsi="Titillium Web" w:cs="Open Sans"/>
                <w:color w:val="414145"/>
                <w:sz w:val="21"/>
                <w:szCs w:val="21"/>
              </w:rPr>
            </w:pPr>
            <w:sdt>
              <w:sdtPr>
                <w:rPr>
                  <w:rFonts w:ascii="Titillium Web" w:eastAsia="MS Gothic" w:hAnsi="Titillium Web" w:cs="Open Sans"/>
                  <w:sz w:val="21"/>
                  <w:szCs w:val="21"/>
                </w:rPr>
                <w:id w:val="481198382"/>
                <w14:checkbox>
                  <w14:checked w14:val="0"/>
                  <w14:checkedState w14:val="2612" w14:font="MS Gothic"/>
                  <w14:uncheckedState w14:val="2610" w14:font="MS Gothic"/>
                </w14:checkbox>
              </w:sdtPr>
              <w:sdtContent>
                <w:r w:rsidR="00692323" w:rsidRPr="005E61DB">
                  <w:rPr>
                    <w:rFonts w:ascii="Segoe UI Symbol" w:eastAsia="MS Gothic" w:hAnsi="Segoe UI Symbol" w:cs="Segoe UI Symbol"/>
                    <w:sz w:val="21"/>
                    <w:szCs w:val="21"/>
                  </w:rPr>
                  <w:t>☐</w:t>
                </w:r>
              </w:sdtContent>
            </w:sdt>
            <w:r w:rsidR="00692323" w:rsidRPr="005E61DB">
              <w:rPr>
                <w:rFonts w:ascii="Titillium Web" w:hAnsi="Titillium Web" w:cs="Open Sans"/>
                <w:sz w:val="21"/>
                <w:szCs w:val="21"/>
              </w:rPr>
              <w:t xml:space="preserve"> </w:t>
            </w:r>
            <w:r w:rsidR="00692323" w:rsidRPr="005E61DB">
              <w:rPr>
                <w:rFonts w:ascii="Titillium Web" w:hAnsi="Titillium Web" w:cs="Open Sans"/>
                <w:color w:val="414145"/>
                <w:sz w:val="21"/>
                <w:szCs w:val="21"/>
              </w:rPr>
              <w:t>Pravna osoba</w:t>
            </w:r>
          </w:p>
        </w:tc>
      </w:tr>
      <w:tr w:rsidR="005E61DB" w:rsidRPr="00692323" w14:paraId="7E0154A4" w14:textId="77777777" w:rsidTr="005E61DB">
        <w:tc>
          <w:tcPr>
            <w:tcW w:w="1709" w:type="dxa"/>
          </w:tcPr>
          <w:p w14:paraId="5D0EE658" w14:textId="3315D03E"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r w:rsidRPr="005E61DB">
              <w:rPr>
                <w:rFonts w:ascii="Titillium Web" w:hAnsi="Titillium Web" w:cs="Open Sans"/>
                <w:color w:val="414145"/>
                <w:sz w:val="21"/>
                <w:szCs w:val="21"/>
              </w:rPr>
              <w:t>Ime, prezime, OIB, adresa, e-mail i telefon podnositelja prijave</w:t>
            </w:r>
            <w:r w:rsidR="00F16D69">
              <w:rPr>
                <w:rFonts w:ascii="Titillium Web" w:hAnsi="Titillium Web" w:cs="Open Sans"/>
                <w:color w:val="414145"/>
                <w:sz w:val="21"/>
                <w:szCs w:val="21"/>
              </w:rPr>
              <w:t xml:space="preserve"> </w:t>
            </w:r>
            <w:r w:rsidR="00F16D69" w:rsidRPr="005E61DB">
              <w:rPr>
                <w:rFonts w:ascii="Titillium Web" w:hAnsi="Titillium Web" w:cs="Open Sans"/>
                <w:i/>
                <w:iCs/>
                <w:color w:val="414145"/>
                <w:sz w:val="21"/>
                <w:szCs w:val="21"/>
              </w:rPr>
              <w:t>(ako postoji)</w:t>
            </w:r>
          </w:p>
        </w:tc>
        <w:tc>
          <w:tcPr>
            <w:tcW w:w="7307" w:type="dxa"/>
          </w:tcPr>
          <w:p w14:paraId="1FA7A8BE" w14:textId="77777777"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p>
        </w:tc>
      </w:tr>
      <w:tr w:rsidR="005E61DB" w:rsidRPr="00692323" w14:paraId="099C88F6" w14:textId="77777777" w:rsidTr="005E61DB">
        <w:tc>
          <w:tcPr>
            <w:tcW w:w="1709" w:type="dxa"/>
          </w:tcPr>
          <w:p w14:paraId="14190CB2" w14:textId="55A7B718"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r w:rsidRPr="005E61DB">
              <w:rPr>
                <w:rFonts w:ascii="Titillium Web" w:hAnsi="Titillium Web" w:cs="Open Sans"/>
                <w:color w:val="414145"/>
                <w:sz w:val="21"/>
                <w:szCs w:val="21"/>
              </w:rPr>
              <w:t xml:space="preserve">Ime, prezime, OIB, adresa, e-mail i telefon opunomoćenika </w:t>
            </w:r>
            <w:r w:rsidRPr="005E61DB">
              <w:rPr>
                <w:rFonts w:ascii="Titillium Web" w:hAnsi="Titillium Web" w:cs="Open Sans"/>
                <w:i/>
                <w:iCs/>
                <w:color w:val="414145"/>
                <w:sz w:val="21"/>
                <w:szCs w:val="21"/>
              </w:rPr>
              <w:t xml:space="preserve"> (ako postoji)</w:t>
            </w:r>
          </w:p>
        </w:tc>
        <w:tc>
          <w:tcPr>
            <w:tcW w:w="7307" w:type="dxa"/>
          </w:tcPr>
          <w:p w14:paraId="2008B88C" w14:textId="77777777"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p>
        </w:tc>
      </w:tr>
      <w:tr w:rsidR="005E61DB" w:rsidRPr="00692323" w14:paraId="60E806E6" w14:textId="77777777" w:rsidTr="005E61DB">
        <w:tc>
          <w:tcPr>
            <w:tcW w:w="1709" w:type="dxa"/>
          </w:tcPr>
          <w:p w14:paraId="553EFE63" w14:textId="78357D4C"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r w:rsidRPr="005E61DB">
              <w:rPr>
                <w:rFonts w:ascii="Titillium Web" w:hAnsi="Titillium Web" w:cs="Open Sans"/>
                <w:color w:val="414145"/>
                <w:sz w:val="21"/>
                <w:szCs w:val="21"/>
              </w:rPr>
              <w:t>Mjesto, datum</w:t>
            </w:r>
          </w:p>
        </w:tc>
        <w:tc>
          <w:tcPr>
            <w:tcW w:w="7307" w:type="dxa"/>
          </w:tcPr>
          <w:p w14:paraId="03800261" w14:textId="77777777" w:rsidR="00692323" w:rsidRPr="005E61DB" w:rsidRDefault="00692323" w:rsidP="00871079">
            <w:pPr>
              <w:pStyle w:val="box460215"/>
              <w:spacing w:before="0" w:beforeAutospacing="0" w:after="135" w:afterAutospacing="0"/>
              <w:rPr>
                <w:rFonts w:ascii="Titillium Web" w:hAnsi="Titillium Web" w:cs="Open Sans"/>
                <w:color w:val="414145"/>
                <w:sz w:val="21"/>
                <w:szCs w:val="21"/>
              </w:rPr>
            </w:pPr>
          </w:p>
        </w:tc>
      </w:tr>
    </w:tbl>
    <w:p w14:paraId="2161F57C" w14:textId="50410C1E" w:rsidR="00692323" w:rsidRDefault="005E61DB" w:rsidP="00420D88">
      <w:pPr>
        <w:rPr>
          <w:rFonts w:ascii="Titillium Web" w:hAnsi="Titillium Web" w:cs="Calibri"/>
          <w:b/>
        </w:rPr>
      </w:pPr>
      <w:r w:rsidRPr="00C512C7">
        <w:rPr>
          <w:rFonts w:ascii="Titillium Web" w:hAnsi="Titillium Web" w:cs="Open Sans"/>
          <w:color w:val="414145"/>
          <w:sz w:val="21"/>
          <w:szCs w:val="21"/>
        </w:rPr>
        <w:t xml:space="preserve">* u skladu s člankom 35. Zakona, odnosno, tj. u skladu </w:t>
      </w:r>
      <w:hyperlink r:id="rId10" w:history="1">
        <w:r w:rsidRPr="00C512C7">
          <w:rPr>
            <w:rStyle w:val="Hyperlink"/>
            <w:rFonts w:ascii="Titillium Web" w:hAnsi="Titillium Web" w:cs="Open Sans"/>
            <w:sz w:val="21"/>
            <w:szCs w:val="21"/>
          </w:rPr>
          <w:t xml:space="preserve">s </w:t>
        </w:r>
        <w:proofErr w:type="spellStart"/>
        <w:r w:rsidRPr="00C512C7">
          <w:rPr>
            <w:rStyle w:val="Hyperlink"/>
            <w:rFonts w:ascii="Titillium Web" w:hAnsi="Titillium Web" w:cs="Open Sans"/>
            <w:sz w:val="21"/>
            <w:szCs w:val="21"/>
          </w:rPr>
          <w:t>Nicanskom</w:t>
        </w:r>
        <w:proofErr w:type="spellEnd"/>
        <w:r w:rsidRPr="00C512C7">
          <w:rPr>
            <w:rStyle w:val="Hyperlink"/>
            <w:rFonts w:ascii="Titillium Web" w:hAnsi="Titillium Web" w:cs="Open Sans"/>
            <w:sz w:val="21"/>
            <w:szCs w:val="21"/>
          </w:rPr>
          <w:t xml:space="preserve"> klasifikacijom proizvoda i usluga</w:t>
        </w:r>
      </w:hyperlink>
    </w:p>
    <w:p w14:paraId="7F36E6A8" w14:textId="77777777" w:rsidR="005E61DB" w:rsidRDefault="005E61DB" w:rsidP="005E61DB">
      <w:pPr>
        <w:rPr>
          <w:rFonts w:ascii="Titillium Web" w:hAnsi="Titillium Web" w:cs="Open Sans"/>
          <w:color w:val="414145"/>
        </w:rPr>
      </w:pPr>
    </w:p>
    <w:p w14:paraId="58D5293D" w14:textId="6A7AAC75" w:rsidR="005E61DB" w:rsidRDefault="005E61DB" w:rsidP="005E61DB">
      <w:pPr>
        <w:rPr>
          <w:rFonts w:ascii="Titillium Web" w:hAnsi="Titillium Web" w:cs="Open Sans"/>
          <w:color w:val="414145"/>
        </w:rPr>
      </w:pPr>
      <w:r>
        <w:rPr>
          <w:rFonts w:ascii="Titillium Web" w:hAnsi="Titillium Web" w:cs="Open Sans"/>
          <w:color w:val="414145"/>
        </w:rPr>
        <w:t>Podaci o Fakultetu za potrebe prijave:</w:t>
      </w:r>
    </w:p>
    <w:p w14:paraId="4E716F35" w14:textId="77777777" w:rsidR="005E61DB" w:rsidRDefault="005E61DB" w:rsidP="005E61DB">
      <w:pPr>
        <w:ind w:left="708"/>
        <w:rPr>
          <w:rFonts w:ascii="Titillium Web" w:hAnsi="Titillium Web" w:cs="Open Sans"/>
          <w:color w:val="414145"/>
        </w:rPr>
      </w:pPr>
    </w:p>
    <w:p w14:paraId="3C52B3B8" w14:textId="2C54DB65" w:rsidR="005E61DB" w:rsidRPr="005E61DB" w:rsidRDefault="005E61DB" w:rsidP="005E61DB">
      <w:pPr>
        <w:ind w:left="708"/>
        <w:rPr>
          <w:rFonts w:ascii="Titillium Web" w:hAnsi="Titillium Web" w:cs="Open Sans"/>
          <w:color w:val="414145"/>
        </w:rPr>
      </w:pPr>
      <w:r w:rsidRPr="005E61DB">
        <w:rPr>
          <w:rFonts w:ascii="Titillium Web" w:hAnsi="Titillium Web" w:cs="Open Sans"/>
          <w:color w:val="414145"/>
        </w:rPr>
        <w:t>Sveučilište u Zagrebu Građevinski fakultet</w:t>
      </w:r>
    </w:p>
    <w:p w14:paraId="6F8102ED" w14:textId="58FEB4F7" w:rsidR="005E61DB" w:rsidRPr="005E61DB" w:rsidRDefault="005E61DB" w:rsidP="005E61DB">
      <w:pPr>
        <w:ind w:left="708"/>
        <w:rPr>
          <w:rFonts w:ascii="Titillium Web" w:hAnsi="Titillium Web" w:cs="Open Sans"/>
          <w:color w:val="414145"/>
        </w:rPr>
      </w:pPr>
      <w:r w:rsidRPr="005E61DB">
        <w:rPr>
          <w:rFonts w:ascii="Titillium Web" w:hAnsi="Titillium Web" w:cs="Open Sans"/>
          <w:color w:val="414145"/>
        </w:rPr>
        <w:t>Fra Andrije Kačića</w:t>
      </w:r>
      <w:r w:rsidR="00C512C7">
        <w:rPr>
          <w:rFonts w:ascii="Titillium Web" w:hAnsi="Titillium Web" w:cs="Open Sans"/>
          <w:color w:val="414145"/>
        </w:rPr>
        <w:t xml:space="preserve"> </w:t>
      </w:r>
      <w:r w:rsidRPr="005E61DB">
        <w:rPr>
          <w:rFonts w:ascii="Titillium Web" w:hAnsi="Titillium Web" w:cs="Open Sans"/>
          <w:color w:val="414145"/>
        </w:rPr>
        <w:t>Miošića 26, 10 000 Zagreb</w:t>
      </w:r>
    </w:p>
    <w:p w14:paraId="63ACC1D8" w14:textId="4FA52C7F" w:rsidR="005E61DB" w:rsidRPr="005E61DB" w:rsidRDefault="005E61DB" w:rsidP="005E61DB">
      <w:pPr>
        <w:ind w:left="708"/>
        <w:rPr>
          <w:rFonts w:ascii="Titillium Web" w:hAnsi="Titillium Web" w:cs="Open Sans"/>
          <w:color w:val="414145"/>
        </w:rPr>
      </w:pPr>
      <w:r w:rsidRPr="005E61DB">
        <w:rPr>
          <w:rFonts w:ascii="Titillium Web" w:hAnsi="Titillium Web" w:cs="Open Sans"/>
          <w:color w:val="414145"/>
        </w:rPr>
        <w:t>Privremena adresa: Kranjčevićeva 2, 10 000 Zagreb</w:t>
      </w:r>
    </w:p>
    <w:p w14:paraId="75956CE8" w14:textId="0BACAC98" w:rsidR="005E61DB" w:rsidRPr="005E61DB" w:rsidRDefault="005E61DB" w:rsidP="005E61DB">
      <w:pPr>
        <w:ind w:left="708"/>
        <w:rPr>
          <w:rFonts w:ascii="Titillium Web" w:hAnsi="Titillium Web" w:cs="Open Sans"/>
          <w:color w:val="414145"/>
        </w:rPr>
      </w:pPr>
      <w:r w:rsidRPr="005E61DB">
        <w:rPr>
          <w:rFonts w:ascii="Titillium Web" w:hAnsi="Titillium Web" w:cs="Open Sans"/>
          <w:color w:val="414145"/>
        </w:rPr>
        <w:t>Telefon: +385 1 4690 810</w:t>
      </w:r>
    </w:p>
    <w:p w14:paraId="008000A3" w14:textId="6EFE5793" w:rsidR="005E61DB" w:rsidRPr="005E61DB" w:rsidRDefault="005E61DB" w:rsidP="005E61DB">
      <w:pPr>
        <w:ind w:left="708"/>
        <w:rPr>
          <w:rFonts w:ascii="Titillium Web" w:hAnsi="Titillium Web" w:cs="Open Sans"/>
          <w:color w:val="414145"/>
        </w:rPr>
      </w:pPr>
      <w:r w:rsidRPr="005E61DB">
        <w:rPr>
          <w:rFonts w:ascii="Titillium Web" w:hAnsi="Titillium Web" w:cs="Open Sans"/>
          <w:color w:val="414145"/>
        </w:rPr>
        <w:t>Telefaks: +385 1 4828 050 (telefa</w:t>
      </w:r>
      <w:r w:rsidR="00C512C7">
        <w:rPr>
          <w:rFonts w:ascii="Titillium Web" w:hAnsi="Titillium Web" w:cs="Open Sans"/>
          <w:color w:val="414145"/>
        </w:rPr>
        <w:t>ks</w:t>
      </w:r>
      <w:r w:rsidRPr="005E61DB">
        <w:rPr>
          <w:rFonts w:ascii="Titillium Web" w:hAnsi="Titillium Web" w:cs="Open Sans"/>
          <w:color w:val="414145"/>
        </w:rPr>
        <w:t xml:space="preserve"> privremeno ne radi zbog preseljenja)</w:t>
      </w:r>
    </w:p>
    <w:p w14:paraId="49A52689" w14:textId="3C26491F" w:rsidR="005E61DB" w:rsidRPr="005E61DB" w:rsidRDefault="005E61DB" w:rsidP="005E61DB">
      <w:pPr>
        <w:ind w:left="708"/>
        <w:rPr>
          <w:rFonts w:ascii="Titillium Web" w:hAnsi="Titillium Web" w:cs="Open Sans"/>
          <w:color w:val="414145"/>
        </w:rPr>
      </w:pPr>
      <w:r w:rsidRPr="005E61DB">
        <w:rPr>
          <w:rFonts w:ascii="Titillium Web" w:hAnsi="Titillium Web" w:cs="Open Sans"/>
          <w:color w:val="414145"/>
        </w:rPr>
        <w:t>E-mail: ured.dekana@grad.unizg.hr</w:t>
      </w:r>
    </w:p>
    <w:p w14:paraId="1ACD55A0" w14:textId="3111319F" w:rsidR="00420D88" w:rsidRPr="005E61DB" w:rsidRDefault="005E61DB" w:rsidP="005E61DB">
      <w:pPr>
        <w:ind w:left="708"/>
        <w:rPr>
          <w:rFonts w:ascii="Titillium Web" w:hAnsi="Titillium Web" w:cs="Open Sans"/>
          <w:color w:val="414145"/>
        </w:rPr>
      </w:pPr>
      <w:r w:rsidRPr="005E61DB">
        <w:rPr>
          <w:rFonts w:ascii="Titillium Web" w:hAnsi="Titillium Web" w:cs="Open Sans"/>
          <w:color w:val="414145"/>
        </w:rPr>
        <w:t>OIB: 62924153420</w:t>
      </w:r>
    </w:p>
    <w:sectPr w:rsidR="00420D88" w:rsidRPr="005E61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FE3D" w14:textId="77777777" w:rsidR="00E53BD5" w:rsidRDefault="00E53BD5" w:rsidP="00420D88">
      <w:r>
        <w:separator/>
      </w:r>
    </w:p>
  </w:endnote>
  <w:endnote w:type="continuationSeparator" w:id="0">
    <w:p w14:paraId="7628FAFE" w14:textId="77777777" w:rsidR="00E53BD5" w:rsidRDefault="00E53BD5" w:rsidP="00420D88">
      <w:r>
        <w:continuationSeparator/>
      </w:r>
    </w:p>
  </w:endnote>
  <w:endnote w:type="continuationNotice" w:id="1">
    <w:p w14:paraId="1E400EB1" w14:textId="77777777" w:rsidR="00E53BD5" w:rsidRDefault="00E53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ZgMedium">
    <w:panose1 w:val="02000605000000020003"/>
    <w:charset w:val="00"/>
    <w:family w:val="modern"/>
    <w:notTrueType/>
    <w:pitch w:val="variable"/>
    <w:sig w:usb0="8000002F" w:usb1="5000204B" w:usb2="00000000" w:usb3="00000000" w:csb0="00000083" w:csb1="00000000"/>
  </w:font>
  <w:font w:name="UniZgLight">
    <w:panose1 w:val="02000503000000020003"/>
    <w:charset w:val="00"/>
    <w:family w:val="modern"/>
    <w:notTrueType/>
    <w:pitch w:val="variable"/>
    <w:sig w:usb0="8000002F" w:usb1="5000204B" w:usb2="00000000" w:usb3="00000000" w:csb0="00000083" w:csb1="00000000"/>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367626"/>
      <w:docPartObj>
        <w:docPartGallery w:val="Page Numbers (Bottom of Page)"/>
        <w:docPartUnique/>
      </w:docPartObj>
    </w:sdtPr>
    <w:sdtContent>
      <w:p w14:paraId="27AC1CF0" w14:textId="1A94359C" w:rsidR="00420D88" w:rsidRDefault="00420D88">
        <w:pPr>
          <w:pStyle w:val="Footer"/>
          <w:jc w:val="right"/>
        </w:pPr>
        <w:r>
          <w:fldChar w:fldCharType="begin"/>
        </w:r>
        <w:r>
          <w:instrText>PAGE   \* MERGEFORMAT</w:instrText>
        </w:r>
        <w:r>
          <w:fldChar w:fldCharType="separate"/>
        </w:r>
        <w:r>
          <w:t>2</w:t>
        </w:r>
        <w:r>
          <w:fldChar w:fldCharType="end"/>
        </w:r>
      </w:p>
    </w:sdtContent>
  </w:sdt>
  <w:p w14:paraId="28877143" w14:textId="77777777" w:rsidR="00420D88" w:rsidRDefault="00420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4158" w14:textId="77777777" w:rsidR="00E53BD5" w:rsidRDefault="00E53BD5" w:rsidP="00420D88">
      <w:r>
        <w:separator/>
      </w:r>
    </w:p>
  </w:footnote>
  <w:footnote w:type="continuationSeparator" w:id="0">
    <w:p w14:paraId="3BD8B4E8" w14:textId="77777777" w:rsidR="00E53BD5" w:rsidRDefault="00E53BD5" w:rsidP="00420D88">
      <w:r>
        <w:continuationSeparator/>
      </w:r>
    </w:p>
  </w:footnote>
  <w:footnote w:type="continuationNotice" w:id="1">
    <w:p w14:paraId="54A15C80" w14:textId="77777777" w:rsidR="00E53BD5" w:rsidRDefault="00E53BD5"/>
  </w:footnote>
  <w:footnote w:id="2">
    <w:p w14:paraId="47991064" w14:textId="4A135779" w:rsidR="00545A29" w:rsidRPr="00545A29" w:rsidRDefault="00545A29" w:rsidP="00545A29">
      <w:pPr>
        <w:pStyle w:val="FootnoteText"/>
        <w:rPr>
          <w:i/>
          <w:iCs/>
        </w:rPr>
      </w:pPr>
      <w:r>
        <w:rPr>
          <w:rStyle w:val="FootnoteReference"/>
        </w:rPr>
        <w:footnoteRef/>
      </w:r>
      <w:r>
        <w:t xml:space="preserve"> </w:t>
      </w:r>
      <w:r w:rsidRPr="00545A29">
        <w:rPr>
          <w:i/>
          <w:iCs/>
        </w:rPr>
        <w:t xml:space="preserve">Žig (engl. </w:t>
      </w:r>
      <w:proofErr w:type="spellStart"/>
      <w:r w:rsidRPr="00545A29">
        <w:rPr>
          <w:i/>
          <w:iCs/>
        </w:rPr>
        <w:t>trademark</w:t>
      </w:r>
      <w:proofErr w:type="spellEnd"/>
      <w:r w:rsidRPr="00545A29">
        <w:rPr>
          <w:i/>
          <w:iCs/>
        </w:rPr>
        <w:t>) je isključivo pravo priznato za znak koji služi za razlikovanje proizvoda i/ili usluga jedne osobe od ostalih osoba u gospodarskom prometu.</w:t>
      </w:r>
    </w:p>
    <w:p w14:paraId="3ECC0777" w14:textId="77777777" w:rsidR="00545A29" w:rsidRPr="00545A29" w:rsidRDefault="00545A29" w:rsidP="00545A29">
      <w:pPr>
        <w:pStyle w:val="FootnoteText"/>
        <w:rPr>
          <w:i/>
          <w:iCs/>
        </w:rPr>
      </w:pPr>
      <w:r w:rsidRPr="00545A29">
        <w:rPr>
          <w:i/>
          <w:iCs/>
        </w:rPr>
        <w:t>Ime, logotip, amblem, etiketu ili druga razlikovna obilježja vašeg proizvoda i/ili usluge moguće je zaštititi žigom.</w:t>
      </w:r>
    </w:p>
    <w:p w14:paraId="2A88E1DA" w14:textId="77777777" w:rsidR="00545A29" w:rsidRPr="00545A29" w:rsidRDefault="00545A29" w:rsidP="00545A29">
      <w:pPr>
        <w:pStyle w:val="FootnoteText"/>
        <w:rPr>
          <w:i/>
          <w:iCs/>
        </w:rPr>
      </w:pPr>
      <w:r w:rsidRPr="00545A29">
        <w:rPr>
          <w:i/>
          <w:iCs/>
        </w:rPr>
        <w:t>Žig se u većini zemalja stječe registracijom na temelju ispitivanja koje obavlja odgovarajuće nadležno tijelo, a u Republici Hrvatskoj je to Državni zavod za intelektualno vlasništvo.</w:t>
      </w:r>
    </w:p>
    <w:p w14:paraId="0CF13BB5" w14:textId="77777777" w:rsidR="00545A29" w:rsidRPr="00545A29" w:rsidRDefault="00545A29" w:rsidP="00545A29">
      <w:pPr>
        <w:pStyle w:val="FootnoteText"/>
        <w:rPr>
          <w:i/>
          <w:iCs/>
        </w:rPr>
      </w:pPr>
      <w:r w:rsidRPr="00545A29">
        <w:rPr>
          <w:i/>
          <w:iCs/>
        </w:rPr>
        <w:t>Osnovni uvjeti koje neki znak mora zadovoljiti da bi mogao postati žig jesu da je razlikovan te da nije sličan nekom ranijem žigu.</w:t>
      </w:r>
    </w:p>
    <w:p w14:paraId="283A6A17" w14:textId="77777777" w:rsidR="00545A29" w:rsidRPr="00545A29" w:rsidRDefault="00545A29" w:rsidP="00545A29">
      <w:pPr>
        <w:pStyle w:val="FootnoteText"/>
        <w:rPr>
          <w:i/>
          <w:iCs/>
        </w:rPr>
      </w:pPr>
      <w:r w:rsidRPr="00545A29">
        <w:rPr>
          <w:i/>
          <w:iCs/>
        </w:rPr>
        <w:t>Žig osigurava vlasniku isključivo pravo na stavljanje u promet proizvoda i/ili usluga obilježenih njime.</w:t>
      </w:r>
    </w:p>
    <w:p w14:paraId="2630B3CE" w14:textId="77777777" w:rsidR="00545A29" w:rsidRPr="00545A29" w:rsidRDefault="00545A29" w:rsidP="00545A29">
      <w:pPr>
        <w:pStyle w:val="FootnoteText"/>
        <w:rPr>
          <w:i/>
          <w:iCs/>
        </w:rPr>
      </w:pPr>
      <w:r w:rsidRPr="00545A29">
        <w:rPr>
          <w:i/>
          <w:iCs/>
        </w:rPr>
        <w:t>Zaštita žigom predstavlja učinkovito tržišno sredstvo kojim proizvođači i pružatelji usluga štite sredstva koja su uložili u promidžbu i marketing svojih proizvoda i/ili usluga. Zaštita same kreacije nekog znaka, logotipa ili etikete može predstavljati autorsko djelo koje je zaštićeno kao autorsko pravo, čime je zaštićen interes autora ili kreatora.</w:t>
      </w:r>
    </w:p>
    <w:p w14:paraId="5F72F28D" w14:textId="72607CAD" w:rsidR="00545A29" w:rsidRDefault="00545A29" w:rsidP="00545A29">
      <w:pPr>
        <w:pStyle w:val="FootnoteText"/>
        <w:rPr>
          <w:i/>
          <w:iCs/>
        </w:rPr>
      </w:pPr>
      <w:r w:rsidRPr="00545A29">
        <w:rPr>
          <w:i/>
          <w:iCs/>
        </w:rPr>
        <w:t>Zaštita žigom u Hrvatskoj, kao i u mnogim zemljama, vrijedi 10 godina, računajući od datuma prijave. Vrijeme zaštite može se produžavati neograničeno na razdoblja od 10 godina, uz pravovremeno podnošenje zahtjeva (u pravilu prije isteka važenja prethodnih 10 godina) i plaćanje odgovarajućih pristojbi i naknada troškova.</w:t>
      </w:r>
    </w:p>
    <w:p w14:paraId="646813A7" w14:textId="0498E003" w:rsidR="005E61DB" w:rsidRDefault="005E61DB" w:rsidP="00545A29">
      <w:pPr>
        <w:pStyle w:val="FootnoteText"/>
        <w:rPr>
          <w:i/>
          <w:iCs/>
        </w:rPr>
      </w:pPr>
      <w:r>
        <w:rPr>
          <w:i/>
          <w:iCs/>
        </w:rPr>
        <w:t xml:space="preserve">Tekst preuzet </w:t>
      </w:r>
      <w:hyperlink r:id="rId1" w:history="1">
        <w:r w:rsidRPr="005E61DB">
          <w:rPr>
            <w:rStyle w:val="Hyperlink"/>
            <w:i/>
            <w:iCs/>
          </w:rPr>
          <w:t>s mrežnih stranica Državnog zavoda za intelektualno vlasništvo</w:t>
        </w:r>
      </w:hyperlink>
      <w:r>
        <w:rPr>
          <w:i/>
          <w:iCs/>
        </w:rPr>
        <w:t xml:space="preserve">. </w:t>
      </w:r>
    </w:p>
    <w:p w14:paraId="4503EF68" w14:textId="1B714B72" w:rsidR="00C62198" w:rsidRPr="00545A29" w:rsidRDefault="00000000" w:rsidP="00545A29">
      <w:pPr>
        <w:pStyle w:val="FootnoteText"/>
        <w:rPr>
          <w:i/>
          <w:iCs/>
        </w:rPr>
      </w:pPr>
      <w:hyperlink r:id="rId2" w:history="1">
        <w:r w:rsidR="00C36838" w:rsidRPr="00C36838">
          <w:rPr>
            <w:rStyle w:val="Hyperlink"/>
            <w:i/>
            <w:iCs/>
          </w:rPr>
          <w:t>Zakon</w:t>
        </w:r>
      </w:hyperlink>
      <w:r w:rsidR="00C36838">
        <w:rPr>
          <w:i/>
          <w:iCs/>
        </w:rPr>
        <w:t xml:space="preserve"> i </w:t>
      </w:r>
      <w:hyperlink r:id="rId3" w:history="1">
        <w:r w:rsidR="00C36838" w:rsidRPr="00C36838">
          <w:rPr>
            <w:rStyle w:val="Hyperlink"/>
            <w:i/>
            <w:iCs/>
          </w:rPr>
          <w:t>Pravilnik o žigu</w:t>
        </w:r>
      </w:hyperlink>
      <w:r w:rsidR="00C36838">
        <w:rPr>
          <w:i/>
          <w:iCs/>
        </w:rPr>
        <w:t xml:space="preserve"> dostupni su na poveznicama. </w:t>
      </w:r>
      <w:r w:rsidR="00C62198">
        <w:rPr>
          <w:i/>
          <w:iCs/>
        </w:rPr>
        <w:t xml:space="preserve">Uredba EU o žigu dostupna je </w:t>
      </w:r>
      <w:hyperlink r:id="rId4" w:history="1">
        <w:r w:rsidR="00C62198" w:rsidRPr="00C62198">
          <w:rPr>
            <w:rStyle w:val="Hyperlink"/>
            <w:i/>
            <w:iCs/>
          </w:rPr>
          <w:t>ovdje</w:t>
        </w:r>
      </w:hyperlink>
      <w:r w:rsidR="00B6401F">
        <w:rPr>
          <w:i/>
          <w:iCs/>
        </w:rPr>
        <w:t xml:space="preserve">, dok su Madridski sporazum i protokol dostupni </w:t>
      </w:r>
      <w:hyperlink r:id="rId5" w:history="1">
        <w:r w:rsidR="00B6401F" w:rsidRPr="00B6401F">
          <w:rPr>
            <w:rStyle w:val="Hyperlink"/>
            <w:i/>
            <w:iCs/>
          </w:rPr>
          <w:t xml:space="preserve">na mrežnim stranicama </w:t>
        </w:r>
        <w:proofErr w:type="spellStart"/>
        <w:r w:rsidR="00B6401F" w:rsidRPr="00B6401F">
          <w:rPr>
            <w:rStyle w:val="Hyperlink"/>
            <w:i/>
            <w:iCs/>
          </w:rPr>
          <w:t>DZIVa</w:t>
        </w:r>
        <w:proofErr w:type="spellEnd"/>
      </w:hyperlink>
      <w:r w:rsidR="00C62198">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D28"/>
    <w:multiLevelType w:val="hybridMultilevel"/>
    <w:tmpl w:val="15C80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FAB1D10"/>
    <w:multiLevelType w:val="hybridMultilevel"/>
    <w:tmpl w:val="F46204C8"/>
    <w:lvl w:ilvl="0" w:tplc="46AA7AEA">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5DA3829"/>
    <w:multiLevelType w:val="hybridMultilevel"/>
    <w:tmpl w:val="6DCCC17C"/>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6F9E4861"/>
    <w:multiLevelType w:val="hybridMultilevel"/>
    <w:tmpl w:val="E760CE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6019830">
    <w:abstractNumId w:val="2"/>
  </w:num>
  <w:num w:numId="2" w16cid:durableId="1688678224">
    <w:abstractNumId w:val="0"/>
  </w:num>
  <w:num w:numId="3" w16cid:durableId="1319724252">
    <w:abstractNumId w:val="1"/>
  </w:num>
  <w:num w:numId="4" w16cid:durableId="1943566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69"/>
    <w:rsid w:val="00015F17"/>
    <w:rsid w:val="00026866"/>
    <w:rsid w:val="000768A2"/>
    <w:rsid w:val="000C10FA"/>
    <w:rsid w:val="000D2138"/>
    <w:rsid w:val="0010534C"/>
    <w:rsid w:val="001233AE"/>
    <w:rsid w:val="0016496B"/>
    <w:rsid w:val="001761FD"/>
    <w:rsid w:val="001A3392"/>
    <w:rsid w:val="001E42A6"/>
    <w:rsid w:val="002322FD"/>
    <w:rsid w:val="00254F36"/>
    <w:rsid w:val="00333769"/>
    <w:rsid w:val="003656D2"/>
    <w:rsid w:val="00377158"/>
    <w:rsid w:val="003A363F"/>
    <w:rsid w:val="003F26ED"/>
    <w:rsid w:val="00420D88"/>
    <w:rsid w:val="00424A99"/>
    <w:rsid w:val="00492891"/>
    <w:rsid w:val="004C3AD2"/>
    <w:rsid w:val="00516D2D"/>
    <w:rsid w:val="00545A29"/>
    <w:rsid w:val="00582D3B"/>
    <w:rsid w:val="005D6B2E"/>
    <w:rsid w:val="005E61DB"/>
    <w:rsid w:val="00645CB4"/>
    <w:rsid w:val="00652D20"/>
    <w:rsid w:val="00692323"/>
    <w:rsid w:val="00710454"/>
    <w:rsid w:val="00731932"/>
    <w:rsid w:val="007470E6"/>
    <w:rsid w:val="00757FD2"/>
    <w:rsid w:val="0077085D"/>
    <w:rsid w:val="00791AAC"/>
    <w:rsid w:val="007B4358"/>
    <w:rsid w:val="00802C26"/>
    <w:rsid w:val="00824C91"/>
    <w:rsid w:val="0086685C"/>
    <w:rsid w:val="00881356"/>
    <w:rsid w:val="0089318C"/>
    <w:rsid w:val="008C0F10"/>
    <w:rsid w:val="00906754"/>
    <w:rsid w:val="00924712"/>
    <w:rsid w:val="00946645"/>
    <w:rsid w:val="009D347D"/>
    <w:rsid w:val="009F2960"/>
    <w:rsid w:val="009F332C"/>
    <w:rsid w:val="00A17DE8"/>
    <w:rsid w:val="00AB58A8"/>
    <w:rsid w:val="00B6401F"/>
    <w:rsid w:val="00B73BC3"/>
    <w:rsid w:val="00B8688E"/>
    <w:rsid w:val="00BA3569"/>
    <w:rsid w:val="00BB45AA"/>
    <w:rsid w:val="00C25A5B"/>
    <w:rsid w:val="00C36838"/>
    <w:rsid w:val="00C37D57"/>
    <w:rsid w:val="00C512C7"/>
    <w:rsid w:val="00C537D4"/>
    <w:rsid w:val="00C62198"/>
    <w:rsid w:val="00C7289C"/>
    <w:rsid w:val="00D86872"/>
    <w:rsid w:val="00DD31B4"/>
    <w:rsid w:val="00E01AF2"/>
    <w:rsid w:val="00E53BD5"/>
    <w:rsid w:val="00EE5CBC"/>
    <w:rsid w:val="00F16D69"/>
    <w:rsid w:val="00F82343"/>
    <w:rsid w:val="00FB3B01"/>
    <w:rsid w:val="00FD2159"/>
    <w:rsid w:val="00FF498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B1B1"/>
  <w15:chartTrackingRefBased/>
  <w15:docId w15:val="{F1A6CEB3-F41E-462E-AD34-02F41C9F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C26"/>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D88"/>
    <w:rPr>
      <w:color w:val="0000FF"/>
      <w:u w:val="single"/>
    </w:rPr>
  </w:style>
  <w:style w:type="paragraph" w:styleId="NoSpacing">
    <w:name w:val="No Spacing"/>
    <w:link w:val="NoSpacingChar"/>
    <w:uiPriority w:val="1"/>
    <w:qFormat/>
    <w:rsid w:val="00420D88"/>
    <w:pPr>
      <w:spacing w:after="0" w:line="240" w:lineRule="auto"/>
    </w:pPr>
    <w:rPr>
      <w:rFonts w:ascii="Times New Roman" w:eastAsia="Times New Roman" w:hAnsi="Times New Roman" w:cs="Times New Roman"/>
      <w:noProof/>
      <w:kern w:val="0"/>
      <w:sz w:val="24"/>
      <w:szCs w:val="24"/>
      <w:lang w:eastAsia="hr-HR"/>
      <w14:ligatures w14:val="none"/>
    </w:rPr>
  </w:style>
  <w:style w:type="character" w:customStyle="1" w:styleId="NoSpacingChar">
    <w:name w:val="No Spacing Char"/>
    <w:link w:val="NoSpacing"/>
    <w:uiPriority w:val="1"/>
    <w:rsid w:val="00420D88"/>
    <w:rPr>
      <w:rFonts w:ascii="Times New Roman" w:eastAsia="Times New Roman" w:hAnsi="Times New Roman" w:cs="Times New Roman"/>
      <w:noProof/>
      <w:kern w:val="0"/>
      <w:sz w:val="24"/>
      <w:szCs w:val="24"/>
      <w:lang w:eastAsia="hr-HR"/>
      <w14:ligatures w14:val="none"/>
    </w:rPr>
  </w:style>
  <w:style w:type="paragraph" w:styleId="Header">
    <w:name w:val="header"/>
    <w:basedOn w:val="Normal"/>
    <w:link w:val="HeaderChar"/>
    <w:uiPriority w:val="99"/>
    <w:unhideWhenUsed/>
    <w:rsid w:val="00420D88"/>
    <w:pPr>
      <w:tabs>
        <w:tab w:val="center" w:pos="4513"/>
        <w:tab w:val="right" w:pos="9026"/>
      </w:tabs>
    </w:pPr>
  </w:style>
  <w:style w:type="character" w:customStyle="1" w:styleId="HeaderChar">
    <w:name w:val="Header Char"/>
    <w:basedOn w:val="DefaultParagraphFont"/>
    <w:link w:val="Header"/>
    <w:uiPriority w:val="99"/>
    <w:rsid w:val="00420D88"/>
    <w:rPr>
      <w:rFonts w:ascii="Times New Roman" w:eastAsia="Times New Roman" w:hAnsi="Times New Roman" w:cs="Times New Roman"/>
      <w:kern w:val="0"/>
      <w:sz w:val="24"/>
      <w:szCs w:val="24"/>
      <w:lang w:eastAsia="hr-HR"/>
      <w14:ligatures w14:val="none"/>
    </w:rPr>
  </w:style>
  <w:style w:type="paragraph" w:styleId="Footer">
    <w:name w:val="footer"/>
    <w:basedOn w:val="Normal"/>
    <w:link w:val="FooterChar"/>
    <w:uiPriority w:val="99"/>
    <w:unhideWhenUsed/>
    <w:rsid w:val="00420D88"/>
    <w:pPr>
      <w:tabs>
        <w:tab w:val="center" w:pos="4513"/>
        <w:tab w:val="right" w:pos="9026"/>
      </w:tabs>
    </w:pPr>
  </w:style>
  <w:style w:type="character" w:customStyle="1" w:styleId="FooterChar">
    <w:name w:val="Footer Char"/>
    <w:basedOn w:val="DefaultParagraphFont"/>
    <w:link w:val="Footer"/>
    <w:uiPriority w:val="99"/>
    <w:rsid w:val="00420D88"/>
    <w:rPr>
      <w:rFonts w:ascii="Times New Roman" w:eastAsia="Times New Roman" w:hAnsi="Times New Roman" w:cs="Times New Roman"/>
      <w:kern w:val="0"/>
      <w:sz w:val="24"/>
      <w:szCs w:val="24"/>
      <w:lang w:eastAsia="hr-HR"/>
      <w14:ligatures w14:val="none"/>
    </w:rPr>
  </w:style>
  <w:style w:type="paragraph" w:styleId="Revision">
    <w:name w:val="Revision"/>
    <w:hidden/>
    <w:uiPriority w:val="99"/>
    <w:semiHidden/>
    <w:rsid w:val="009F2960"/>
    <w:pPr>
      <w:spacing w:after="0" w:line="240" w:lineRule="auto"/>
    </w:pPr>
    <w:rPr>
      <w:rFonts w:ascii="Times New Roman" w:eastAsia="Times New Roman" w:hAnsi="Times New Roman" w:cs="Times New Roman"/>
      <w:kern w:val="0"/>
      <w:sz w:val="24"/>
      <w:szCs w:val="24"/>
      <w:lang w:eastAsia="hr-HR"/>
      <w14:ligatures w14:val="none"/>
    </w:rPr>
  </w:style>
  <w:style w:type="paragraph" w:styleId="FootnoteText">
    <w:name w:val="footnote text"/>
    <w:basedOn w:val="Normal"/>
    <w:link w:val="FootnoteTextChar"/>
    <w:uiPriority w:val="99"/>
    <w:semiHidden/>
    <w:unhideWhenUsed/>
    <w:rsid w:val="00545A29"/>
    <w:rPr>
      <w:sz w:val="20"/>
      <w:szCs w:val="20"/>
    </w:rPr>
  </w:style>
  <w:style w:type="character" w:customStyle="1" w:styleId="FootnoteTextChar">
    <w:name w:val="Footnote Text Char"/>
    <w:basedOn w:val="DefaultParagraphFont"/>
    <w:link w:val="FootnoteText"/>
    <w:uiPriority w:val="99"/>
    <w:semiHidden/>
    <w:rsid w:val="00545A29"/>
    <w:rPr>
      <w:rFonts w:ascii="Times New Roman" w:eastAsia="Times New Roman" w:hAnsi="Times New Roman" w:cs="Times New Roman"/>
      <w:kern w:val="0"/>
      <w:sz w:val="20"/>
      <w:szCs w:val="20"/>
      <w:lang w:eastAsia="hr-HR"/>
      <w14:ligatures w14:val="none"/>
    </w:rPr>
  </w:style>
  <w:style w:type="character" w:styleId="FootnoteReference">
    <w:name w:val="footnote reference"/>
    <w:basedOn w:val="DefaultParagraphFont"/>
    <w:uiPriority w:val="99"/>
    <w:semiHidden/>
    <w:unhideWhenUsed/>
    <w:rsid w:val="00545A29"/>
    <w:rPr>
      <w:vertAlign w:val="superscript"/>
    </w:rPr>
  </w:style>
  <w:style w:type="character" w:styleId="UnresolvedMention">
    <w:name w:val="Unresolved Mention"/>
    <w:basedOn w:val="DefaultParagraphFont"/>
    <w:uiPriority w:val="99"/>
    <w:semiHidden/>
    <w:unhideWhenUsed/>
    <w:rsid w:val="00C62198"/>
    <w:rPr>
      <w:color w:val="605E5C"/>
      <w:shd w:val="clear" w:color="auto" w:fill="E1DFDD"/>
    </w:rPr>
  </w:style>
  <w:style w:type="character" w:styleId="FollowedHyperlink">
    <w:name w:val="FollowedHyperlink"/>
    <w:basedOn w:val="DefaultParagraphFont"/>
    <w:uiPriority w:val="99"/>
    <w:semiHidden/>
    <w:unhideWhenUsed/>
    <w:rsid w:val="00C62198"/>
    <w:rPr>
      <w:color w:val="954F72" w:themeColor="followedHyperlink"/>
      <w:u w:val="single"/>
    </w:rPr>
  </w:style>
  <w:style w:type="paragraph" w:customStyle="1" w:styleId="box460215">
    <w:name w:val="box_460215"/>
    <w:basedOn w:val="Normal"/>
    <w:rsid w:val="00692323"/>
    <w:pPr>
      <w:spacing w:before="100" w:beforeAutospacing="1" w:after="100" w:afterAutospacing="1"/>
    </w:pPr>
  </w:style>
  <w:style w:type="table" w:styleId="TableGrid">
    <w:name w:val="Table Grid"/>
    <w:basedOn w:val="TableNormal"/>
    <w:uiPriority w:val="39"/>
    <w:rsid w:val="0069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4726">
      <w:bodyDiv w:val="1"/>
      <w:marLeft w:val="0"/>
      <w:marRight w:val="0"/>
      <w:marTop w:val="0"/>
      <w:marBottom w:val="0"/>
      <w:divBdr>
        <w:top w:val="none" w:sz="0" w:space="0" w:color="auto"/>
        <w:left w:val="none" w:sz="0" w:space="0" w:color="auto"/>
        <w:bottom w:val="none" w:sz="0" w:space="0" w:color="auto"/>
        <w:right w:val="none" w:sz="0" w:space="0" w:color="auto"/>
      </w:divBdr>
    </w:div>
    <w:div w:id="1202668692">
      <w:bodyDiv w:val="1"/>
      <w:marLeft w:val="0"/>
      <w:marRight w:val="0"/>
      <w:marTop w:val="0"/>
      <w:marBottom w:val="0"/>
      <w:divBdr>
        <w:top w:val="none" w:sz="0" w:space="0" w:color="auto"/>
        <w:left w:val="none" w:sz="0" w:space="0" w:color="auto"/>
        <w:bottom w:val="none" w:sz="0" w:space="0" w:color="auto"/>
        <w:right w:val="none" w:sz="0" w:space="0" w:color="auto"/>
      </w:divBdr>
    </w:div>
    <w:div w:id="13259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ziv.hr/files/file/zastita/Nica_11_2020.pdf"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zakon.hr/cms.htm?id=39335" TargetMode="External"/><Relationship Id="rId2" Type="http://schemas.openxmlformats.org/officeDocument/2006/relationships/hyperlink" Target="https://zakon.hr/z/120/Zakon-o-%C5%BEigu" TargetMode="External"/><Relationship Id="rId1" Type="http://schemas.openxmlformats.org/officeDocument/2006/relationships/hyperlink" Target="https://www.dziv.hr/hr/intelektualno-vlasnistvo/zigovi/" TargetMode="External"/><Relationship Id="rId5" Type="http://schemas.openxmlformats.org/officeDocument/2006/relationships/hyperlink" Target="https://www.dziv.hr/hr/intelektualno-vlasnistvo/zigovi/zakonodavstvo/medjunarodni-ugovori/" TargetMode="External"/><Relationship Id="rId4" Type="http://schemas.openxmlformats.org/officeDocument/2006/relationships/hyperlink" Target="https://eur-lex.europa.eu/legal-content/HR/TXT/?uri=CELEX:32017R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F602-39CB-4E42-B458-B43D4455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Javorski Milošić</dc:creator>
  <cp:keywords/>
  <dc:description/>
  <cp:lastModifiedBy>Ida Javorski Milošić</cp:lastModifiedBy>
  <cp:revision>4</cp:revision>
  <dcterms:created xsi:type="dcterms:W3CDTF">2023-10-17T12:54:00Z</dcterms:created>
  <dcterms:modified xsi:type="dcterms:W3CDTF">2024-03-25T10:54:00Z</dcterms:modified>
</cp:coreProperties>
</file>